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E4" w:rsidRPr="00671763" w:rsidRDefault="004047E4" w:rsidP="009618BB">
      <w:pPr>
        <w:pStyle w:val="Ttulo7"/>
        <w:spacing w:before="0"/>
        <w:jc w:val="center"/>
        <w:rPr>
          <w:rFonts w:ascii="Calibri" w:hAnsi="Calibri" w:cs="Calibri"/>
          <w:b/>
          <w:i w:val="0"/>
          <w:color w:val="auto"/>
          <w:sz w:val="12"/>
          <w:szCs w:val="12"/>
          <w:lang w:val="es-CR"/>
        </w:rPr>
      </w:pPr>
    </w:p>
    <w:p w:rsidR="005555B2" w:rsidRPr="00C52DA4" w:rsidRDefault="005555B2" w:rsidP="005555B2">
      <w:pPr>
        <w:pStyle w:val="Textoindependiente2"/>
        <w:jc w:val="center"/>
        <w:rPr>
          <w:rFonts w:asciiTheme="minorHAnsi" w:hAnsiTheme="minorHAnsi" w:cstheme="minorHAnsi"/>
          <w:b/>
          <w:smallCaps/>
          <w:sz w:val="24"/>
          <w:lang w:val="es-CR"/>
        </w:rPr>
      </w:pPr>
      <w:r w:rsidRPr="00C52DA4">
        <w:rPr>
          <w:rFonts w:asciiTheme="minorHAnsi" w:hAnsiTheme="minorHAnsi" w:cstheme="minorHAnsi"/>
          <w:b/>
          <w:smallCaps/>
          <w:sz w:val="24"/>
          <w:lang w:val="es-CR"/>
        </w:rPr>
        <w:t xml:space="preserve">Informe Cumplimiento Plan Estratégico Institucional  </w:t>
      </w:r>
    </w:p>
    <w:p w:rsidR="008433F0" w:rsidRDefault="005555B2" w:rsidP="005555B2">
      <w:pPr>
        <w:pStyle w:val="Textoindependiente2"/>
        <w:jc w:val="center"/>
        <w:rPr>
          <w:rFonts w:asciiTheme="minorHAnsi" w:hAnsiTheme="minorHAnsi" w:cstheme="minorHAnsi"/>
          <w:b/>
          <w:smallCaps/>
          <w:sz w:val="24"/>
          <w:lang w:val="es-CR"/>
        </w:rPr>
      </w:pPr>
      <w:r w:rsidRPr="00C52DA4">
        <w:rPr>
          <w:rFonts w:asciiTheme="minorHAnsi" w:hAnsiTheme="minorHAnsi" w:cstheme="minorHAnsi"/>
          <w:b/>
          <w:smallCaps/>
          <w:sz w:val="24"/>
          <w:lang w:val="es-CR"/>
        </w:rPr>
        <w:t>al 31 de diciembre  201</w:t>
      </w:r>
      <w:r>
        <w:rPr>
          <w:rFonts w:asciiTheme="minorHAnsi" w:hAnsiTheme="minorHAnsi" w:cstheme="minorHAnsi"/>
          <w:b/>
          <w:smallCaps/>
          <w:sz w:val="24"/>
          <w:lang w:val="es-CR"/>
        </w:rPr>
        <w:t>6</w:t>
      </w:r>
    </w:p>
    <w:p w:rsidR="008433F0" w:rsidRDefault="008433F0" w:rsidP="0082329E">
      <w:pPr>
        <w:pStyle w:val="Textoindependiente2"/>
        <w:jc w:val="center"/>
        <w:rPr>
          <w:rFonts w:asciiTheme="minorHAnsi" w:hAnsiTheme="minorHAnsi" w:cstheme="minorHAnsi"/>
          <w:b/>
          <w:smallCaps/>
          <w:sz w:val="24"/>
          <w:lang w:val="es-CR"/>
        </w:rPr>
      </w:pPr>
    </w:p>
    <w:p w:rsidR="008F08A7" w:rsidRPr="00506CF3" w:rsidRDefault="008F08A7" w:rsidP="00275630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b/>
          <w:smallCaps/>
          <w:sz w:val="26"/>
          <w:szCs w:val="26"/>
        </w:rPr>
      </w:pPr>
      <w:r w:rsidRPr="00506CF3">
        <w:rPr>
          <w:rFonts w:asciiTheme="minorHAnsi" w:hAnsiTheme="minorHAnsi" w:cstheme="minorHAnsi"/>
          <w:b/>
          <w:smallCaps/>
          <w:sz w:val="26"/>
          <w:szCs w:val="26"/>
        </w:rPr>
        <w:t xml:space="preserve">Introducción </w:t>
      </w:r>
    </w:p>
    <w:p w:rsidR="0058035F" w:rsidRPr="00C52DA4" w:rsidRDefault="0058035F" w:rsidP="0058035F">
      <w:pPr>
        <w:pStyle w:val="Textoindependiente"/>
        <w:ind w:left="567"/>
        <w:rPr>
          <w:rFonts w:asciiTheme="minorHAnsi" w:hAnsiTheme="minorHAnsi" w:cstheme="minorHAnsi"/>
          <w:b/>
          <w:smallCaps/>
        </w:rPr>
      </w:pPr>
    </w:p>
    <w:p w:rsidR="00E917F3" w:rsidRDefault="00C43B0F" w:rsidP="00C43B0F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B3204D">
        <w:rPr>
          <w:rFonts w:asciiTheme="minorHAnsi" w:hAnsiTheme="minorHAnsi" w:cstheme="minorHAnsi"/>
          <w:sz w:val="23"/>
          <w:szCs w:val="23"/>
        </w:rPr>
        <w:t xml:space="preserve">Dentro de la </w:t>
      </w:r>
      <w:r w:rsidR="00F9219D">
        <w:rPr>
          <w:rFonts w:asciiTheme="minorHAnsi" w:hAnsiTheme="minorHAnsi" w:cstheme="minorHAnsi"/>
          <w:sz w:val="23"/>
          <w:szCs w:val="23"/>
        </w:rPr>
        <w:t>I</w:t>
      </w:r>
      <w:r w:rsidRPr="00B3204D">
        <w:rPr>
          <w:rFonts w:asciiTheme="minorHAnsi" w:hAnsiTheme="minorHAnsi" w:cstheme="minorHAnsi"/>
          <w:sz w:val="23"/>
          <w:szCs w:val="23"/>
        </w:rPr>
        <w:t>nstitución se tiene establecido</w:t>
      </w:r>
      <w:r w:rsidR="00B8051A">
        <w:rPr>
          <w:rFonts w:asciiTheme="minorHAnsi" w:hAnsiTheme="minorHAnsi" w:cstheme="minorHAnsi"/>
          <w:sz w:val="23"/>
          <w:szCs w:val="23"/>
        </w:rPr>
        <w:t xml:space="preserve"> el Plan Estratégico Institucional para el periodo 2016-2019, aprobado por la Junta Directiva en Sesión 34-2016 del 19 de mayo del 2016. El cual </w:t>
      </w:r>
      <w:r w:rsidR="00F9219D">
        <w:rPr>
          <w:rFonts w:asciiTheme="minorHAnsi" w:hAnsiTheme="minorHAnsi" w:cstheme="minorHAnsi"/>
          <w:sz w:val="23"/>
          <w:szCs w:val="23"/>
        </w:rPr>
        <w:t>establece la estrategia</w:t>
      </w:r>
      <w:r w:rsidR="00B8051A">
        <w:rPr>
          <w:rFonts w:asciiTheme="minorHAnsi" w:hAnsiTheme="minorHAnsi" w:cstheme="minorHAnsi"/>
          <w:sz w:val="23"/>
          <w:szCs w:val="23"/>
        </w:rPr>
        <w:t xml:space="preserve"> (objetivos, metas y acciones) a seguir durante estos 4 años</w:t>
      </w:r>
      <w:r w:rsidR="002D466B">
        <w:rPr>
          <w:rFonts w:asciiTheme="minorHAnsi" w:hAnsiTheme="minorHAnsi" w:cstheme="minorHAnsi"/>
          <w:sz w:val="23"/>
          <w:szCs w:val="23"/>
        </w:rPr>
        <w:t>.</w:t>
      </w:r>
      <w:r w:rsidR="00B8051A">
        <w:rPr>
          <w:rFonts w:asciiTheme="minorHAnsi" w:hAnsiTheme="minorHAnsi" w:cstheme="minorHAnsi"/>
          <w:sz w:val="23"/>
          <w:szCs w:val="23"/>
        </w:rPr>
        <w:t xml:space="preserve"> </w:t>
      </w:r>
      <w:r w:rsidR="009607A2">
        <w:rPr>
          <w:rFonts w:asciiTheme="minorHAnsi" w:hAnsiTheme="minorHAnsi" w:cstheme="minorHAnsi"/>
          <w:sz w:val="23"/>
          <w:szCs w:val="23"/>
        </w:rPr>
        <w:t>Para  el seguimiento de dicho p</w:t>
      </w:r>
      <w:r w:rsidR="008949D2">
        <w:rPr>
          <w:rFonts w:asciiTheme="minorHAnsi" w:hAnsiTheme="minorHAnsi" w:cstheme="minorHAnsi"/>
          <w:sz w:val="23"/>
          <w:szCs w:val="23"/>
        </w:rPr>
        <w:t xml:space="preserve">lan </w:t>
      </w:r>
      <w:r w:rsidR="009607A2">
        <w:rPr>
          <w:rFonts w:asciiTheme="minorHAnsi" w:hAnsiTheme="minorHAnsi" w:cstheme="minorHAnsi"/>
          <w:sz w:val="23"/>
          <w:szCs w:val="23"/>
        </w:rPr>
        <w:t xml:space="preserve">se llevó a cabo </w:t>
      </w:r>
      <w:r w:rsidR="00687B7F">
        <w:rPr>
          <w:rFonts w:asciiTheme="minorHAnsi" w:hAnsiTheme="minorHAnsi" w:cstheme="minorHAnsi"/>
          <w:sz w:val="23"/>
          <w:szCs w:val="23"/>
        </w:rPr>
        <w:t>el</w:t>
      </w:r>
      <w:r w:rsidR="009607A2">
        <w:rPr>
          <w:rFonts w:asciiTheme="minorHAnsi" w:hAnsiTheme="minorHAnsi" w:cstheme="minorHAnsi"/>
          <w:sz w:val="23"/>
          <w:szCs w:val="23"/>
        </w:rPr>
        <w:t xml:space="preserve"> </w:t>
      </w:r>
      <w:r w:rsidR="00644B41">
        <w:rPr>
          <w:rFonts w:asciiTheme="minorHAnsi" w:hAnsiTheme="minorHAnsi" w:cstheme="minorHAnsi"/>
          <w:sz w:val="23"/>
          <w:szCs w:val="23"/>
        </w:rPr>
        <w:t xml:space="preserve">correspondiente </w:t>
      </w:r>
      <w:r w:rsidR="008A20BA">
        <w:rPr>
          <w:rFonts w:asciiTheme="minorHAnsi" w:hAnsiTheme="minorHAnsi" w:cstheme="minorHAnsi"/>
          <w:sz w:val="23"/>
          <w:szCs w:val="23"/>
        </w:rPr>
        <w:t xml:space="preserve">seguimiento </w:t>
      </w:r>
      <w:r w:rsidR="00687B7F">
        <w:rPr>
          <w:rFonts w:asciiTheme="minorHAnsi" w:hAnsiTheme="minorHAnsi" w:cstheme="minorHAnsi"/>
          <w:sz w:val="23"/>
          <w:szCs w:val="23"/>
        </w:rPr>
        <w:t xml:space="preserve">con </w:t>
      </w:r>
      <w:r w:rsidR="009607A2">
        <w:rPr>
          <w:rFonts w:asciiTheme="minorHAnsi" w:hAnsiTheme="minorHAnsi" w:cstheme="minorHAnsi"/>
          <w:sz w:val="23"/>
          <w:szCs w:val="23"/>
        </w:rPr>
        <w:t xml:space="preserve">corte </w:t>
      </w:r>
      <w:r w:rsidR="00687B7F">
        <w:rPr>
          <w:rFonts w:asciiTheme="minorHAnsi" w:hAnsiTheme="minorHAnsi" w:cstheme="minorHAnsi"/>
          <w:sz w:val="23"/>
          <w:szCs w:val="23"/>
        </w:rPr>
        <w:t>a</w:t>
      </w:r>
      <w:r w:rsidR="009607A2">
        <w:rPr>
          <w:rFonts w:asciiTheme="minorHAnsi" w:hAnsiTheme="minorHAnsi" w:cstheme="minorHAnsi"/>
          <w:sz w:val="23"/>
          <w:szCs w:val="23"/>
        </w:rPr>
        <w:t xml:space="preserve"> diciembre del 2016 y </w:t>
      </w:r>
      <w:r w:rsidR="00E917F3">
        <w:rPr>
          <w:rFonts w:asciiTheme="minorHAnsi" w:hAnsiTheme="minorHAnsi" w:cstheme="minorHAnsi"/>
          <w:sz w:val="23"/>
          <w:szCs w:val="23"/>
        </w:rPr>
        <w:t xml:space="preserve"> se muestra en el presente documento.</w:t>
      </w:r>
    </w:p>
    <w:p w:rsidR="00155788" w:rsidRPr="000B54DE" w:rsidRDefault="00155788" w:rsidP="00155788">
      <w:pPr>
        <w:ind w:left="993" w:hanging="426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A131D8" w:rsidRPr="00506CF3" w:rsidRDefault="00A131D8" w:rsidP="00275630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b/>
          <w:smallCaps/>
          <w:sz w:val="26"/>
          <w:szCs w:val="26"/>
          <w:lang w:val="es-CR"/>
        </w:rPr>
      </w:pPr>
      <w:r w:rsidRPr="00506CF3">
        <w:rPr>
          <w:rFonts w:asciiTheme="minorHAnsi" w:hAnsiTheme="minorHAnsi" w:cstheme="minorHAnsi"/>
          <w:b/>
          <w:smallCaps/>
          <w:sz w:val="26"/>
          <w:szCs w:val="26"/>
          <w:lang w:val="es-CR"/>
        </w:rPr>
        <w:t>Alcance</w:t>
      </w:r>
      <w:r w:rsidR="00FE40B0">
        <w:rPr>
          <w:rFonts w:asciiTheme="minorHAnsi" w:hAnsiTheme="minorHAnsi" w:cstheme="minorHAnsi"/>
          <w:b/>
          <w:smallCaps/>
          <w:sz w:val="26"/>
          <w:szCs w:val="26"/>
          <w:lang w:val="es-CR"/>
        </w:rPr>
        <w:t xml:space="preserve"> y Metodología </w:t>
      </w:r>
    </w:p>
    <w:p w:rsidR="00A131D8" w:rsidRPr="00C52DA4" w:rsidRDefault="00A131D8" w:rsidP="00A131D8">
      <w:pPr>
        <w:jc w:val="both"/>
        <w:rPr>
          <w:rFonts w:asciiTheme="minorHAnsi" w:hAnsiTheme="minorHAnsi" w:cstheme="minorHAnsi"/>
          <w:lang w:val="es-CR" w:eastAsia="es-CR"/>
        </w:rPr>
      </w:pPr>
    </w:p>
    <w:p w:rsidR="00063AD2" w:rsidRDefault="00063AD2" w:rsidP="00063AD2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 w:rsidRPr="002D005F">
        <w:rPr>
          <w:rFonts w:asciiTheme="minorHAnsi" w:hAnsiTheme="minorHAnsi" w:cstheme="minorHAnsi"/>
          <w:sz w:val="23"/>
          <w:szCs w:val="23"/>
        </w:rPr>
        <w:t xml:space="preserve">De conformidad </w:t>
      </w:r>
      <w:r w:rsidR="0057567F">
        <w:rPr>
          <w:rFonts w:asciiTheme="minorHAnsi" w:hAnsiTheme="minorHAnsi" w:cstheme="minorHAnsi"/>
          <w:sz w:val="23"/>
          <w:szCs w:val="23"/>
        </w:rPr>
        <w:t xml:space="preserve">con </w:t>
      </w:r>
      <w:r w:rsidRPr="002D005F">
        <w:rPr>
          <w:rFonts w:asciiTheme="minorHAnsi" w:hAnsiTheme="minorHAnsi" w:cstheme="minorHAnsi"/>
          <w:sz w:val="23"/>
          <w:szCs w:val="23"/>
        </w:rPr>
        <w:t xml:space="preserve">la estructura del Plan Estratégico Institucional </w:t>
      </w:r>
      <w:r w:rsidRPr="002D005F">
        <w:rPr>
          <w:rFonts w:asciiTheme="minorHAnsi" w:hAnsiTheme="minorHAnsi" w:cstheme="minorHAnsi"/>
          <w:sz w:val="23"/>
          <w:szCs w:val="23"/>
          <w:lang w:val="es-MX"/>
        </w:rPr>
        <w:t>2016-201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9, este </w:t>
      </w:r>
      <w:r w:rsidR="00687B7F">
        <w:rPr>
          <w:rFonts w:asciiTheme="minorHAnsi" w:hAnsiTheme="minorHAnsi" w:cstheme="minorHAnsi"/>
          <w:sz w:val="23"/>
          <w:szCs w:val="23"/>
          <w:lang w:val="es-MX"/>
        </w:rPr>
        <w:t xml:space="preserve">plan está </w:t>
      </w:r>
      <w:r w:rsidR="008A20BA">
        <w:rPr>
          <w:rFonts w:asciiTheme="minorHAnsi" w:hAnsiTheme="minorHAnsi" w:cstheme="minorHAnsi"/>
          <w:sz w:val="23"/>
          <w:szCs w:val="23"/>
          <w:lang w:val="es-MX"/>
        </w:rPr>
        <w:t xml:space="preserve">conformado por </w:t>
      </w:r>
      <w:r w:rsidR="00F639E2">
        <w:rPr>
          <w:rFonts w:asciiTheme="minorHAnsi" w:hAnsiTheme="minorHAnsi" w:cstheme="minorHAnsi"/>
          <w:sz w:val="23"/>
          <w:szCs w:val="23"/>
          <w:lang w:val="es-MX"/>
        </w:rPr>
        <w:t xml:space="preserve">4 </w:t>
      </w:r>
      <w:r>
        <w:rPr>
          <w:rFonts w:asciiTheme="minorHAnsi" w:hAnsiTheme="minorHAnsi" w:cstheme="minorHAnsi"/>
          <w:sz w:val="23"/>
          <w:szCs w:val="23"/>
          <w:lang w:val="es-MX"/>
        </w:rPr>
        <w:t>perspectivas</w:t>
      </w:r>
      <w:r w:rsidR="00F639E2">
        <w:rPr>
          <w:rFonts w:asciiTheme="minorHAnsi" w:hAnsiTheme="minorHAnsi" w:cstheme="minorHAnsi"/>
          <w:sz w:val="23"/>
          <w:szCs w:val="23"/>
          <w:lang w:val="es-MX"/>
        </w:rPr>
        <w:t>: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Capacidad Organizacional, Procesos Internos, Grupos de</w:t>
      </w:r>
      <w:r w:rsidR="00F639E2">
        <w:rPr>
          <w:rFonts w:asciiTheme="minorHAnsi" w:hAnsiTheme="minorHAnsi" w:cstheme="minorHAnsi"/>
          <w:sz w:val="23"/>
          <w:szCs w:val="23"/>
          <w:lang w:val="es-MX"/>
        </w:rPr>
        <w:t xml:space="preserve"> interés y Financiera; cada una con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un </w:t>
      </w:r>
      <w:r w:rsidR="008960FD">
        <w:rPr>
          <w:rFonts w:asciiTheme="minorHAnsi" w:hAnsiTheme="minorHAnsi" w:cstheme="minorHAnsi"/>
          <w:sz w:val="23"/>
          <w:szCs w:val="23"/>
          <w:lang w:val="es-MX"/>
        </w:rPr>
        <w:t>peso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del 25%. </w:t>
      </w:r>
      <w:r w:rsidR="00555067">
        <w:rPr>
          <w:rFonts w:asciiTheme="minorHAnsi" w:hAnsiTheme="minorHAnsi" w:cstheme="minorHAnsi"/>
          <w:sz w:val="23"/>
          <w:szCs w:val="23"/>
          <w:lang w:val="es-MX"/>
        </w:rPr>
        <w:t>A s</w:t>
      </w:r>
      <w:r w:rsidR="00F639E2">
        <w:rPr>
          <w:rFonts w:asciiTheme="minorHAnsi" w:hAnsiTheme="minorHAnsi" w:cstheme="minorHAnsi"/>
          <w:sz w:val="23"/>
          <w:szCs w:val="23"/>
          <w:lang w:val="es-MX"/>
        </w:rPr>
        <w:t>u vez, están conformadas por</w:t>
      </w:r>
      <w:r w:rsidR="00555067">
        <w:rPr>
          <w:rFonts w:asciiTheme="minorHAnsi" w:hAnsiTheme="minorHAnsi" w:cstheme="minorHAnsi"/>
          <w:sz w:val="23"/>
          <w:szCs w:val="23"/>
          <w:lang w:val="es-MX"/>
        </w:rPr>
        <w:t xml:space="preserve"> 18 objetivos y estos por sus indicadores </w:t>
      </w:r>
      <w:r w:rsidR="008960FD">
        <w:rPr>
          <w:rFonts w:asciiTheme="minorHAnsi" w:hAnsiTheme="minorHAnsi" w:cstheme="minorHAnsi"/>
          <w:sz w:val="23"/>
          <w:szCs w:val="23"/>
          <w:lang w:val="es-MX"/>
        </w:rPr>
        <w:t>y</w:t>
      </w:r>
      <w:r w:rsidR="00555067">
        <w:rPr>
          <w:rFonts w:asciiTheme="minorHAnsi" w:hAnsiTheme="minorHAnsi" w:cstheme="minorHAnsi"/>
          <w:sz w:val="23"/>
          <w:szCs w:val="23"/>
          <w:lang w:val="es-MX"/>
        </w:rPr>
        <w:t xml:space="preserve"> metas; a saber: </w:t>
      </w:r>
    </w:p>
    <w:p w:rsidR="00751215" w:rsidRPr="00671763" w:rsidRDefault="00751215" w:rsidP="00063AD2">
      <w:pPr>
        <w:spacing w:line="360" w:lineRule="auto"/>
        <w:jc w:val="both"/>
        <w:rPr>
          <w:rFonts w:asciiTheme="minorHAnsi" w:hAnsiTheme="minorHAnsi" w:cstheme="minorHAnsi"/>
          <w:sz w:val="10"/>
          <w:szCs w:val="10"/>
          <w:lang w:val="es-MX"/>
        </w:rPr>
      </w:pPr>
    </w:p>
    <w:p w:rsidR="008A0339" w:rsidRPr="008A0339" w:rsidRDefault="007248F6" w:rsidP="0079388C">
      <w:pPr>
        <w:jc w:val="center"/>
        <w:rPr>
          <w:rFonts w:asciiTheme="minorHAnsi" w:hAnsiTheme="minorHAnsi" w:cstheme="minorHAnsi"/>
          <w:b/>
          <w:smallCaps/>
          <w:szCs w:val="23"/>
          <w:lang w:val="es-MX"/>
        </w:rPr>
      </w:pPr>
      <w:r>
        <w:rPr>
          <w:rFonts w:asciiTheme="minorHAnsi" w:hAnsiTheme="minorHAnsi" w:cstheme="minorHAnsi"/>
          <w:b/>
          <w:smallCaps/>
          <w:szCs w:val="23"/>
          <w:lang w:val="es-MX"/>
        </w:rPr>
        <w:t xml:space="preserve">Cuadro </w:t>
      </w:r>
      <w:r w:rsidR="008A0339" w:rsidRPr="008A0339">
        <w:rPr>
          <w:rFonts w:asciiTheme="minorHAnsi" w:hAnsiTheme="minorHAnsi" w:cstheme="minorHAnsi"/>
          <w:b/>
          <w:smallCaps/>
          <w:szCs w:val="23"/>
          <w:lang w:val="es-MX"/>
        </w:rPr>
        <w:t>1</w:t>
      </w:r>
    </w:p>
    <w:p w:rsidR="0079388C" w:rsidRDefault="008A0339" w:rsidP="0079388C">
      <w:pPr>
        <w:jc w:val="center"/>
        <w:rPr>
          <w:rFonts w:asciiTheme="minorHAnsi" w:hAnsiTheme="minorHAnsi" w:cstheme="minorHAnsi"/>
          <w:b/>
          <w:smallCaps/>
          <w:szCs w:val="23"/>
          <w:lang w:val="es-MX"/>
        </w:rPr>
      </w:pPr>
      <w:r w:rsidRPr="008A0339">
        <w:rPr>
          <w:rFonts w:asciiTheme="minorHAnsi" w:hAnsiTheme="minorHAnsi" w:cstheme="minorHAnsi"/>
          <w:b/>
          <w:smallCaps/>
          <w:szCs w:val="23"/>
          <w:lang w:val="es-MX"/>
        </w:rPr>
        <w:t xml:space="preserve">Perspectivas, Objetivos </w:t>
      </w:r>
      <w:r w:rsidR="008960FD">
        <w:rPr>
          <w:rFonts w:asciiTheme="minorHAnsi" w:hAnsiTheme="minorHAnsi" w:cstheme="minorHAnsi"/>
          <w:b/>
          <w:smallCaps/>
          <w:szCs w:val="23"/>
          <w:lang w:val="es-MX"/>
        </w:rPr>
        <w:t>Estratégicos, Pesos</w:t>
      </w:r>
    </w:p>
    <w:p w:rsidR="00862211" w:rsidRDefault="00862211" w:rsidP="0079388C">
      <w:pPr>
        <w:jc w:val="center"/>
        <w:rPr>
          <w:rFonts w:asciiTheme="minorHAnsi" w:hAnsiTheme="minorHAnsi" w:cstheme="minorHAnsi"/>
          <w:sz w:val="23"/>
          <w:szCs w:val="23"/>
          <w:lang w:val="es-MX"/>
        </w:rPr>
      </w:pP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939"/>
        <w:gridCol w:w="5311"/>
        <w:gridCol w:w="617"/>
      </w:tblGrid>
      <w:tr w:rsidR="00862211" w:rsidRPr="0013591D" w:rsidTr="00862211">
        <w:trPr>
          <w:trHeight w:val="547"/>
          <w:tblHeader/>
          <w:jc w:val="center"/>
        </w:trPr>
        <w:tc>
          <w:tcPr>
            <w:tcW w:w="1502" w:type="dxa"/>
            <w:shd w:val="clear" w:color="000000" w:fill="1F497D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CR" w:eastAsia="es-CR"/>
              </w:rPr>
              <w:t xml:space="preserve">Perspectiva </w:t>
            </w:r>
          </w:p>
        </w:tc>
        <w:tc>
          <w:tcPr>
            <w:tcW w:w="6250" w:type="dxa"/>
            <w:gridSpan w:val="2"/>
            <w:shd w:val="clear" w:color="000000" w:fill="1F497D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s-CR" w:eastAsia="es-CR"/>
              </w:rPr>
              <w:t>OBJETIVO ESTRATÉGICO</w:t>
            </w:r>
          </w:p>
        </w:tc>
        <w:tc>
          <w:tcPr>
            <w:tcW w:w="617" w:type="dxa"/>
            <w:shd w:val="clear" w:color="000000" w:fill="1F497D"/>
            <w:vAlign w:val="center"/>
          </w:tcPr>
          <w:p w:rsidR="00862211" w:rsidRDefault="00862211" w:rsidP="00862211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s-CR" w:eastAsia="es-CR"/>
              </w:rPr>
              <w:t>Peso</w:t>
            </w:r>
          </w:p>
        </w:tc>
      </w:tr>
      <w:tr w:rsidR="00862211" w:rsidRPr="0013591D" w:rsidTr="00862211">
        <w:trPr>
          <w:trHeight w:val="600"/>
          <w:jc w:val="center"/>
        </w:trPr>
        <w:tc>
          <w:tcPr>
            <w:tcW w:w="1502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62211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  <w:t>4. Financiera</w:t>
            </w:r>
            <w: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  <w:t xml:space="preserve"> </w:t>
            </w:r>
          </w:p>
          <w:p w:rsidR="00862211" w:rsidRPr="0013591D" w:rsidRDefault="00862211" w:rsidP="00136308">
            <w:pPr>
              <w:jc w:val="center"/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  <w:r w:rsidRPr="006502A8">
              <w:rPr>
                <w:rFonts w:ascii="Calibri" w:hAnsi="Calibri"/>
                <w:b/>
                <w:bCs/>
                <w:color w:val="003366"/>
                <w:sz w:val="18"/>
                <w:szCs w:val="20"/>
                <w:lang w:val="es-CR" w:eastAsia="es-CR"/>
              </w:rPr>
              <w:t>(25%)</w:t>
            </w: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4.1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141265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Aumentar el saldo de la cartera de crédito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862211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33%</w:t>
            </w:r>
          </w:p>
        </w:tc>
      </w:tr>
      <w:tr w:rsidR="00862211" w:rsidRPr="0013591D" w:rsidTr="00862211">
        <w:trPr>
          <w:trHeight w:val="585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4.2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141265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Mejorar la ejecución del presupuesto FOSUVI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862211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33%</w:t>
            </w:r>
          </w:p>
        </w:tc>
      </w:tr>
      <w:tr w:rsidR="00862211" w:rsidRPr="0013591D" w:rsidTr="00862211">
        <w:trPr>
          <w:trHeight w:val="615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4.3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141265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 xml:space="preserve">Comprometer los montos de proyectos  Art. 59 de los recursos disponibles 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862211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33%</w:t>
            </w:r>
          </w:p>
        </w:tc>
      </w:tr>
      <w:tr w:rsidR="00862211" w:rsidRPr="0013591D" w:rsidTr="00862211">
        <w:trPr>
          <w:trHeight w:val="315"/>
          <w:jc w:val="center"/>
        </w:trPr>
        <w:tc>
          <w:tcPr>
            <w:tcW w:w="7752" w:type="dxa"/>
            <w:gridSpan w:val="3"/>
            <w:shd w:val="clear" w:color="000000" w:fill="E4DFEC"/>
            <w:noWrap/>
            <w:vAlign w:val="center"/>
            <w:hideMark/>
          </w:tcPr>
          <w:p w:rsidR="00862211" w:rsidRPr="0013591D" w:rsidRDefault="00862211" w:rsidP="00141265">
            <w:pPr>
              <w:jc w:val="both"/>
              <w:rPr>
                <w:rFonts w:ascii="Calibri" w:hAnsi="Calibri"/>
                <w:b/>
                <w:bCs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0000"/>
                <w:sz w:val="21"/>
                <w:szCs w:val="21"/>
                <w:lang w:val="es-CR" w:eastAsia="es-CR"/>
              </w:rPr>
              <w:t>Total OE</w:t>
            </w:r>
            <w:r w:rsidRPr="0098537C">
              <w:rPr>
                <w:rFonts w:ascii="Calibri" w:hAnsi="Calibri"/>
                <w:b/>
                <w:bCs/>
                <w:color w:val="000000"/>
                <w:sz w:val="21"/>
                <w:szCs w:val="21"/>
                <w:lang w:val="es-CR" w:eastAsia="es-CR"/>
              </w:rPr>
              <w:t xml:space="preserve"> </w:t>
            </w:r>
            <w:r w:rsidRPr="0013591D">
              <w:rPr>
                <w:rFonts w:ascii="Calibri" w:hAnsi="Calibri"/>
                <w:b/>
                <w:bCs/>
                <w:color w:val="000000"/>
                <w:sz w:val="21"/>
                <w:szCs w:val="21"/>
                <w:lang w:val="es-CR" w:eastAsia="es-CR"/>
              </w:rPr>
              <w:t>3</w:t>
            </w:r>
          </w:p>
        </w:tc>
        <w:tc>
          <w:tcPr>
            <w:tcW w:w="617" w:type="dxa"/>
            <w:shd w:val="clear" w:color="000000" w:fill="E4DFEC"/>
            <w:vAlign w:val="center"/>
          </w:tcPr>
          <w:p w:rsidR="00862211" w:rsidRPr="0098537C" w:rsidRDefault="00862211" w:rsidP="00862211">
            <w:pPr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  <w:lang w:val="es-CR" w:eastAsia="es-CR"/>
              </w:rPr>
            </w:pPr>
          </w:p>
        </w:tc>
      </w:tr>
      <w:tr w:rsidR="00862211" w:rsidRPr="0013591D" w:rsidTr="00862211">
        <w:trPr>
          <w:trHeight w:val="928"/>
          <w:jc w:val="center"/>
        </w:trPr>
        <w:tc>
          <w:tcPr>
            <w:tcW w:w="1502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62211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  <w:t>3. Grupos de interés</w:t>
            </w:r>
          </w:p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  <w:r w:rsidRPr="006502A8">
              <w:rPr>
                <w:rFonts w:ascii="Calibri" w:hAnsi="Calibri"/>
                <w:b/>
                <w:bCs/>
                <w:color w:val="003366"/>
                <w:sz w:val="18"/>
                <w:szCs w:val="20"/>
                <w:lang w:val="es-CR" w:eastAsia="es-CR"/>
              </w:rPr>
              <w:t>(25%)</w:t>
            </w: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3.1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141265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Mejorar el grado de satisfacción de los beneficiarios finales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862211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50%</w:t>
            </w:r>
          </w:p>
        </w:tc>
      </w:tr>
      <w:tr w:rsidR="00862211" w:rsidRPr="0013591D" w:rsidTr="00862211">
        <w:trPr>
          <w:trHeight w:val="915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3.2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141265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Mejorar la percepción del BANHVI ante las entidades autorizadas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862211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50%</w:t>
            </w:r>
          </w:p>
        </w:tc>
      </w:tr>
      <w:tr w:rsidR="00862211" w:rsidRPr="0013591D" w:rsidTr="00862211">
        <w:trPr>
          <w:trHeight w:val="315"/>
          <w:jc w:val="center"/>
        </w:trPr>
        <w:tc>
          <w:tcPr>
            <w:tcW w:w="7752" w:type="dxa"/>
            <w:gridSpan w:val="3"/>
            <w:shd w:val="clear" w:color="auto" w:fill="E5DFEC" w:themeFill="accent4" w:themeFillTint="33"/>
            <w:noWrap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CCFFFF"/>
                <w:sz w:val="22"/>
                <w:szCs w:val="22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  <w:t>Total OE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  <w:t xml:space="preserve"> 2</w:t>
            </w:r>
            <w:r w:rsidRPr="0013591D">
              <w:rPr>
                <w:rFonts w:ascii="Calibri" w:hAnsi="Calibri"/>
                <w:b/>
                <w:bCs/>
                <w:color w:val="CCFFFF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617" w:type="dxa"/>
            <w:shd w:val="clear" w:color="auto" w:fill="E5DFEC" w:themeFill="accent4" w:themeFillTint="33"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</w:tr>
      <w:tr w:rsidR="00862211" w:rsidRPr="0013591D" w:rsidTr="00091569">
        <w:trPr>
          <w:trHeight w:val="900"/>
          <w:jc w:val="center"/>
        </w:trPr>
        <w:tc>
          <w:tcPr>
            <w:tcW w:w="1502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62211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  <w:lastRenderedPageBreak/>
              <w:t>2. Procesos Internos</w:t>
            </w:r>
          </w:p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  <w:r w:rsidRPr="003F4A77">
              <w:rPr>
                <w:rFonts w:ascii="Calibri" w:hAnsi="Calibri"/>
                <w:b/>
                <w:bCs/>
                <w:color w:val="003366"/>
                <w:sz w:val="18"/>
                <w:szCs w:val="20"/>
                <w:lang w:val="es-CR" w:eastAsia="es-CR"/>
              </w:rPr>
              <w:t>(25%)</w:t>
            </w: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2.1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98537C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Tramitar con agilidad los subsidios art. 59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091569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10%</w:t>
            </w:r>
          </w:p>
        </w:tc>
      </w:tr>
      <w:tr w:rsidR="00862211" w:rsidRPr="0013591D" w:rsidTr="00091569">
        <w:trPr>
          <w:trHeight w:val="900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2.2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98537C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Mejorar los procesos internos para cumplir con los plazos establecidos en la normativa vigente en trámite de proyectos de Art.59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091569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10%</w:t>
            </w:r>
          </w:p>
        </w:tc>
      </w:tr>
      <w:tr w:rsidR="00862211" w:rsidRPr="0013591D" w:rsidTr="00091569">
        <w:trPr>
          <w:trHeight w:val="1200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2.3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98537C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Tramitar oportunamente los financiamientos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091569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10%</w:t>
            </w:r>
          </w:p>
        </w:tc>
      </w:tr>
      <w:tr w:rsidR="00862211" w:rsidRPr="0013591D" w:rsidTr="00091569">
        <w:trPr>
          <w:trHeight w:val="720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2.4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98537C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 xml:space="preserve">Ejecutar eficazmente los fondos destinados a bonos comunales 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091569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10%</w:t>
            </w:r>
          </w:p>
        </w:tc>
      </w:tr>
      <w:tr w:rsidR="00862211" w:rsidRPr="0013591D" w:rsidTr="00091569">
        <w:trPr>
          <w:trHeight w:val="900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2.5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98537C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Mejorar el índice de eficiencia de las Entidades Autorizadas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091569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10%</w:t>
            </w:r>
          </w:p>
        </w:tc>
      </w:tr>
      <w:tr w:rsidR="00862211" w:rsidRPr="0013591D" w:rsidTr="00091569">
        <w:trPr>
          <w:trHeight w:val="600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2.6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98537C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Atender oportunamente las recomendaciones de los órganos de control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091569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10%</w:t>
            </w:r>
          </w:p>
        </w:tc>
      </w:tr>
      <w:tr w:rsidR="00862211" w:rsidRPr="0013591D" w:rsidTr="00091569">
        <w:trPr>
          <w:trHeight w:val="600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2.7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98537C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Lograr un mayor aprovechamiento de bienes propiedad BANHVI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091569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10%</w:t>
            </w:r>
          </w:p>
        </w:tc>
      </w:tr>
      <w:tr w:rsidR="00862211" w:rsidRPr="0013591D" w:rsidTr="0016543E">
        <w:trPr>
          <w:trHeight w:val="359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2.8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98537C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Lograr un mayor aprovechamiento de bienes en fideicomiso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091569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10%</w:t>
            </w:r>
          </w:p>
        </w:tc>
      </w:tr>
      <w:tr w:rsidR="00862211" w:rsidRPr="0013591D" w:rsidTr="00091569">
        <w:trPr>
          <w:trHeight w:val="525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2.9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98537C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Mejorar el ordenamiento administrativo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091569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10%</w:t>
            </w:r>
          </w:p>
        </w:tc>
      </w:tr>
      <w:tr w:rsidR="00862211" w:rsidRPr="0013591D" w:rsidTr="00091569">
        <w:trPr>
          <w:trHeight w:val="1200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1"/>
                <w:szCs w:val="21"/>
                <w:lang w:val="es-CR" w:eastAsia="es-CR"/>
              </w:rPr>
              <w:t>2.10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98537C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Simplificar los  trámites en el BANHVI y Entidades Autorizadas en lo relacionado al proceso de aprobación de bonos familiares de vivienda y bonos comunales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98537C" w:rsidRDefault="00862211" w:rsidP="00091569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10%</w:t>
            </w:r>
          </w:p>
        </w:tc>
      </w:tr>
      <w:tr w:rsidR="00862211" w:rsidRPr="0013591D" w:rsidTr="00862211">
        <w:trPr>
          <w:trHeight w:val="315"/>
          <w:jc w:val="center"/>
        </w:trPr>
        <w:tc>
          <w:tcPr>
            <w:tcW w:w="7752" w:type="dxa"/>
            <w:gridSpan w:val="3"/>
            <w:shd w:val="clear" w:color="auto" w:fill="E5DFEC" w:themeFill="accent4" w:themeFillTint="33"/>
            <w:noWrap/>
            <w:vAlign w:val="center"/>
            <w:hideMark/>
          </w:tcPr>
          <w:p w:rsidR="00862211" w:rsidRPr="0013591D" w:rsidRDefault="00862211" w:rsidP="00EE065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CR" w:eastAsia="es-CR"/>
              </w:rPr>
              <w:t>Total OE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CR" w:eastAsia="es-CR"/>
              </w:rPr>
              <w:t xml:space="preserve"> </w:t>
            </w:r>
            <w:r w:rsidRPr="0013591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  <w:t>10</w:t>
            </w:r>
          </w:p>
        </w:tc>
        <w:tc>
          <w:tcPr>
            <w:tcW w:w="617" w:type="dxa"/>
            <w:shd w:val="clear" w:color="auto" w:fill="E5DFEC" w:themeFill="accent4" w:themeFillTint="33"/>
          </w:tcPr>
          <w:p w:rsidR="00862211" w:rsidRPr="0013591D" w:rsidRDefault="00862211" w:rsidP="00EE065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CR" w:eastAsia="es-CR"/>
              </w:rPr>
            </w:pPr>
          </w:p>
        </w:tc>
      </w:tr>
      <w:tr w:rsidR="00862211" w:rsidRPr="0013591D" w:rsidTr="00862211">
        <w:trPr>
          <w:trHeight w:val="600"/>
          <w:jc w:val="center"/>
        </w:trPr>
        <w:tc>
          <w:tcPr>
            <w:tcW w:w="1502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62211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  <w:t>1. Capacidad organizacional</w:t>
            </w:r>
          </w:p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  <w:r w:rsidRPr="00465C2A">
              <w:rPr>
                <w:rFonts w:ascii="Calibri" w:hAnsi="Calibri"/>
                <w:b/>
                <w:bCs/>
                <w:color w:val="003366"/>
                <w:sz w:val="18"/>
                <w:szCs w:val="20"/>
                <w:lang w:val="es-CR" w:eastAsia="es-CR"/>
              </w:rPr>
              <w:t>(25%)</w:t>
            </w: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  <w:t>1.1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CA2B97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Contar con personal de alto desempeño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EF200F" w:rsidRDefault="00862211" w:rsidP="00D179B5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EF200F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33%</w:t>
            </w:r>
          </w:p>
        </w:tc>
      </w:tr>
      <w:tr w:rsidR="00862211" w:rsidRPr="0013591D" w:rsidTr="00862211">
        <w:trPr>
          <w:trHeight w:val="600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  <w:t>1.2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CA2B97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Mejorar la plataforma de TI de acuerdo a las necesidades del negocio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EF200F" w:rsidRDefault="00862211" w:rsidP="00D179B5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EF200F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33%</w:t>
            </w:r>
          </w:p>
        </w:tc>
      </w:tr>
      <w:tr w:rsidR="00862211" w:rsidRPr="0013591D" w:rsidTr="00862211">
        <w:trPr>
          <w:trHeight w:val="615"/>
          <w:jc w:val="center"/>
        </w:trPr>
        <w:tc>
          <w:tcPr>
            <w:tcW w:w="1502" w:type="dxa"/>
            <w:vMerge/>
            <w:vAlign w:val="center"/>
            <w:hideMark/>
          </w:tcPr>
          <w:p w:rsidR="00862211" w:rsidRPr="0013591D" w:rsidRDefault="00862211" w:rsidP="0013591D">
            <w:pP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</w:p>
        </w:tc>
        <w:tc>
          <w:tcPr>
            <w:tcW w:w="939" w:type="dxa"/>
            <w:shd w:val="clear" w:color="000000" w:fill="FFFFFF"/>
            <w:vAlign w:val="center"/>
            <w:hideMark/>
          </w:tcPr>
          <w:p w:rsidR="00862211" w:rsidRPr="0013591D" w:rsidRDefault="00862211" w:rsidP="0013591D">
            <w:pPr>
              <w:jc w:val="center"/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  <w:t>1.3</w:t>
            </w:r>
          </w:p>
        </w:tc>
        <w:tc>
          <w:tcPr>
            <w:tcW w:w="5311" w:type="dxa"/>
            <w:shd w:val="clear" w:color="000000" w:fill="FFFFFF"/>
            <w:vAlign w:val="center"/>
            <w:hideMark/>
          </w:tcPr>
          <w:p w:rsidR="00862211" w:rsidRPr="0013591D" w:rsidRDefault="00862211" w:rsidP="00CA2B97">
            <w:pPr>
              <w:jc w:val="both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13591D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Implementar los proyectos de TI satisfactoriamente</w:t>
            </w:r>
          </w:p>
        </w:tc>
        <w:tc>
          <w:tcPr>
            <w:tcW w:w="617" w:type="dxa"/>
            <w:shd w:val="clear" w:color="000000" w:fill="FFFFFF"/>
            <w:vAlign w:val="center"/>
          </w:tcPr>
          <w:p w:rsidR="00862211" w:rsidRPr="00EF200F" w:rsidRDefault="00862211" w:rsidP="00D179B5">
            <w:pPr>
              <w:jc w:val="center"/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</w:pPr>
            <w:r w:rsidRPr="00EF200F">
              <w:rPr>
                <w:rFonts w:ascii="Calibri" w:hAnsi="Calibri"/>
                <w:color w:val="000000"/>
                <w:sz w:val="21"/>
                <w:szCs w:val="21"/>
                <w:lang w:val="es-CR" w:eastAsia="es-CR"/>
              </w:rPr>
              <w:t>33%</w:t>
            </w:r>
          </w:p>
        </w:tc>
      </w:tr>
      <w:tr w:rsidR="00862211" w:rsidRPr="0013591D" w:rsidTr="00862211">
        <w:trPr>
          <w:trHeight w:val="315"/>
          <w:jc w:val="center"/>
        </w:trPr>
        <w:tc>
          <w:tcPr>
            <w:tcW w:w="7752" w:type="dxa"/>
            <w:gridSpan w:val="3"/>
            <w:shd w:val="clear" w:color="auto" w:fill="E5DFEC" w:themeFill="accent4" w:themeFillTint="33"/>
            <w:vAlign w:val="center"/>
            <w:hideMark/>
          </w:tcPr>
          <w:p w:rsidR="00862211" w:rsidRPr="0013591D" w:rsidRDefault="00862211" w:rsidP="009853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CR" w:eastAsia="es-CR"/>
              </w:rPr>
              <w:t>Total  OE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CR" w:eastAsia="es-CR"/>
              </w:rPr>
              <w:t xml:space="preserve"> 3</w:t>
            </w:r>
          </w:p>
        </w:tc>
        <w:tc>
          <w:tcPr>
            <w:tcW w:w="617" w:type="dxa"/>
            <w:shd w:val="clear" w:color="auto" w:fill="E5DFEC" w:themeFill="accent4" w:themeFillTint="33"/>
          </w:tcPr>
          <w:p w:rsidR="00862211" w:rsidRPr="0013591D" w:rsidRDefault="00862211" w:rsidP="0098537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CR" w:eastAsia="es-CR"/>
              </w:rPr>
            </w:pPr>
          </w:p>
        </w:tc>
      </w:tr>
      <w:tr w:rsidR="00862211" w:rsidRPr="0013591D" w:rsidTr="00862211">
        <w:trPr>
          <w:trHeight w:val="510"/>
          <w:jc w:val="center"/>
        </w:trPr>
        <w:tc>
          <w:tcPr>
            <w:tcW w:w="7752" w:type="dxa"/>
            <w:gridSpan w:val="3"/>
            <w:shd w:val="clear" w:color="auto" w:fill="E5DFEC" w:themeFill="accent4" w:themeFillTint="33"/>
            <w:vAlign w:val="center"/>
            <w:hideMark/>
          </w:tcPr>
          <w:p w:rsidR="00862211" w:rsidRPr="0098537C" w:rsidRDefault="00862211" w:rsidP="0098537C">
            <w:pPr>
              <w:rPr>
                <w:rFonts w:ascii="Calibri" w:hAnsi="Calibri"/>
                <w:lang w:val="es-CR" w:eastAsia="es-CR"/>
              </w:rPr>
            </w:pPr>
            <w:r w:rsidRPr="0013591D">
              <w:rPr>
                <w:rFonts w:ascii="Calibri" w:hAnsi="Calibri"/>
                <w:b/>
                <w:bCs/>
                <w:lang w:val="es-CR" w:eastAsia="es-CR"/>
              </w:rPr>
              <w:t>Total de OE del PE</w:t>
            </w:r>
            <w:r w:rsidRPr="0098537C">
              <w:rPr>
                <w:rFonts w:ascii="Calibri" w:hAnsi="Calibri"/>
                <w:b/>
                <w:bCs/>
                <w:lang w:val="es-CR" w:eastAsia="es-CR"/>
              </w:rPr>
              <w:t xml:space="preserve"> </w:t>
            </w:r>
            <w:r w:rsidRPr="0013591D">
              <w:rPr>
                <w:rFonts w:ascii="Calibri" w:hAnsi="Calibri"/>
                <w:b/>
                <w:bCs/>
                <w:lang w:val="es-CR" w:eastAsia="es-CR"/>
              </w:rPr>
              <w:t>18</w:t>
            </w:r>
          </w:p>
        </w:tc>
        <w:tc>
          <w:tcPr>
            <w:tcW w:w="617" w:type="dxa"/>
            <w:shd w:val="clear" w:color="auto" w:fill="E5DFEC" w:themeFill="accent4" w:themeFillTint="33"/>
          </w:tcPr>
          <w:p w:rsidR="00862211" w:rsidRPr="0013591D" w:rsidRDefault="00862211" w:rsidP="0098537C">
            <w:pPr>
              <w:rPr>
                <w:rFonts w:ascii="Calibri" w:hAnsi="Calibri"/>
                <w:b/>
                <w:bCs/>
                <w:lang w:val="es-CR" w:eastAsia="es-CR"/>
              </w:rPr>
            </w:pPr>
          </w:p>
        </w:tc>
      </w:tr>
    </w:tbl>
    <w:p w:rsidR="00555067" w:rsidRPr="007248F6" w:rsidRDefault="007248F6" w:rsidP="00063AD2">
      <w:pPr>
        <w:spacing w:line="360" w:lineRule="auto"/>
        <w:jc w:val="both"/>
        <w:rPr>
          <w:rFonts w:asciiTheme="minorHAnsi" w:hAnsiTheme="minorHAnsi" w:cstheme="minorHAnsi"/>
          <w:sz w:val="18"/>
          <w:szCs w:val="23"/>
          <w:lang w:val="es-MX"/>
        </w:rPr>
      </w:pPr>
      <w:r w:rsidRPr="007248F6">
        <w:rPr>
          <w:rFonts w:asciiTheme="minorHAnsi" w:hAnsiTheme="minorHAnsi" w:cstheme="minorHAnsi"/>
          <w:sz w:val="18"/>
          <w:szCs w:val="23"/>
          <w:lang w:val="es-MX"/>
        </w:rPr>
        <w:t>Fuente: Plan Estratégico Institucional 2016-2019</w:t>
      </w:r>
    </w:p>
    <w:p w:rsidR="00A76E95" w:rsidRDefault="00F639E2" w:rsidP="008557DF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lastRenderedPageBreak/>
        <w:t>De acuerdo a la estrategia de seguimiento definida para este plan y la optimiza</w:t>
      </w:r>
      <w:r w:rsidR="00751215">
        <w:rPr>
          <w:rFonts w:asciiTheme="minorHAnsi" w:hAnsiTheme="minorHAnsi" w:cstheme="minorHAnsi"/>
          <w:sz w:val="23"/>
          <w:szCs w:val="23"/>
        </w:rPr>
        <w:t xml:space="preserve">ción de la herramienta </w:t>
      </w:r>
      <w:r w:rsidR="00AB1BD7">
        <w:rPr>
          <w:rFonts w:asciiTheme="minorHAnsi" w:hAnsiTheme="minorHAnsi" w:cstheme="minorHAnsi"/>
          <w:sz w:val="23"/>
          <w:szCs w:val="23"/>
        </w:rPr>
        <w:t>automatizada que se utiliza para el mismo (</w:t>
      </w:r>
      <w:r>
        <w:rPr>
          <w:rFonts w:asciiTheme="minorHAnsi" w:hAnsiTheme="minorHAnsi" w:cstheme="minorHAnsi"/>
          <w:sz w:val="23"/>
          <w:szCs w:val="23"/>
        </w:rPr>
        <w:t xml:space="preserve">proporcionada por la Firma externa que brindó la asesoría del proceso de </w:t>
      </w:r>
      <w:r w:rsidR="00AB1BD7">
        <w:rPr>
          <w:rFonts w:asciiTheme="minorHAnsi" w:hAnsiTheme="minorHAnsi" w:cstheme="minorHAnsi"/>
          <w:sz w:val="23"/>
          <w:szCs w:val="23"/>
        </w:rPr>
        <w:t>planeamiento)</w:t>
      </w:r>
      <w:r w:rsidR="00A76E95">
        <w:rPr>
          <w:rFonts w:asciiTheme="minorHAnsi" w:hAnsiTheme="minorHAnsi" w:cstheme="minorHAnsi"/>
          <w:sz w:val="23"/>
          <w:szCs w:val="23"/>
        </w:rPr>
        <w:t>,</w:t>
      </w:r>
      <w:r w:rsidR="00AB1BD7">
        <w:rPr>
          <w:rFonts w:asciiTheme="minorHAnsi" w:hAnsiTheme="minorHAnsi" w:cstheme="minorHAnsi"/>
          <w:sz w:val="23"/>
          <w:szCs w:val="23"/>
        </w:rPr>
        <w:t xml:space="preserve"> </w:t>
      </w:r>
      <w:r w:rsidR="00A76E95">
        <w:rPr>
          <w:rFonts w:asciiTheme="minorHAnsi" w:hAnsiTheme="minorHAnsi" w:cstheme="minorHAnsi"/>
          <w:sz w:val="23"/>
          <w:szCs w:val="23"/>
        </w:rPr>
        <w:t>los</w:t>
      </w:r>
      <w:r>
        <w:rPr>
          <w:rFonts w:asciiTheme="minorHAnsi" w:hAnsiTheme="minorHAnsi" w:cstheme="minorHAnsi"/>
          <w:sz w:val="23"/>
          <w:szCs w:val="23"/>
        </w:rPr>
        <w:t xml:space="preserve"> porcentajes de cumplimiento que </w:t>
      </w:r>
      <w:r w:rsidR="00AB1BD7">
        <w:rPr>
          <w:rFonts w:asciiTheme="minorHAnsi" w:hAnsiTheme="minorHAnsi" w:cstheme="minorHAnsi"/>
          <w:sz w:val="23"/>
          <w:szCs w:val="23"/>
        </w:rPr>
        <w:t xml:space="preserve">se </w:t>
      </w:r>
      <w:r>
        <w:rPr>
          <w:rFonts w:asciiTheme="minorHAnsi" w:hAnsiTheme="minorHAnsi" w:cstheme="minorHAnsi"/>
          <w:sz w:val="23"/>
          <w:szCs w:val="23"/>
        </w:rPr>
        <w:t xml:space="preserve">vayan alcanzando </w:t>
      </w:r>
      <w:r w:rsidR="00AB1BD7">
        <w:rPr>
          <w:rFonts w:asciiTheme="minorHAnsi" w:hAnsiTheme="minorHAnsi" w:cstheme="minorHAnsi"/>
          <w:sz w:val="23"/>
          <w:szCs w:val="23"/>
        </w:rPr>
        <w:t xml:space="preserve">en la composición de cada perspectiva estratégica, </w:t>
      </w:r>
      <w:r>
        <w:rPr>
          <w:rFonts w:asciiTheme="minorHAnsi" w:hAnsiTheme="minorHAnsi" w:cstheme="minorHAnsi"/>
          <w:sz w:val="23"/>
          <w:szCs w:val="23"/>
        </w:rPr>
        <w:t>serán ubicados según  parámetros</w:t>
      </w:r>
      <w:r w:rsidR="00A76E95">
        <w:rPr>
          <w:rFonts w:asciiTheme="minorHAnsi" w:hAnsiTheme="minorHAnsi" w:cstheme="minorHAnsi"/>
          <w:sz w:val="23"/>
          <w:szCs w:val="23"/>
        </w:rPr>
        <w:t xml:space="preserve"> del siguiente cuadro:</w:t>
      </w:r>
    </w:p>
    <w:p w:rsidR="00063AD2" w:rsidRPr="00923A55" w:rsidRDefault="00F639E2" w:rsidP="008557DF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923A55">
        <w:rPr>
          <w:rFonts w:asciiTheme="minorHAnsi" w:hAnsiTheme="minorHAnsi" w:cstheme="minorHAnsi"/>
          <w:sz w:val="14"/>
          <w:szCs w:val="14"/>
        </w:rPr>
        <w:t xml:space="preserve"> </w:t>
      </w:r>
    </w:p>
    <w:p w:rsidR="00804AB1" w:rsidRPr="008A0339" w:rsidRDefault="007248F6" w:rsidP="0079388C">
      <w:pPr>
        <w:jc w:val="center"/>
        <w:rPr>
          <w:rFonts w:asciiTheme="minorHAnsi" w:hAnsiTheme="minorHAnsi" w:cstheme="minorHAnsi"/>
          <w:b/>
          <w:smallCaps/>
          <w:szCs w:val="23"/>
          <w:lang w:val="es-MX"/>
        </w:rPr>
      </w:pPr>
      <w:r>
        <w:rPr>
          <w:rFonts w:asciiTheme="minorHAnsi" w:hAnsiTheme="minorHAnsi" w:cstheme="minorHAnsi"/>
          <w:b/>
          <w:smallCaps/>
          <w:szCs w:val="23"/>
          <w:lang w:val="es-MX"/>
        </w:rPr>
        <w:t>Cuadro</w:t>
      </w:r>
      <w:r w:rsidR="00804AB1" w:rsidRPr="008A0339">
        <w:rPr>
          <w:rFonts w:asciiTheme="minorHAnsi" w:hAnsiTheme="minorHAnsi" w:cstheme="minorHAnsi"/>
          <w:b/>
          <w:smallCaps/>
          <w:szCs w:val="23"/>
          <w:lang w:val="es-MX"/>
        </w:rPr>
        <w:t xml:space="preserve"> </w:t>
      </w:r>
      <w:r w:rsidR="00804AB1">
        <w:rPr>
          <w:rFonts w:asciiTheme="minorHAnsi" w:hAnsiTheme="minorHAnsi" w:cstheme="minorHAnsi"/>
          <w:b/>
          <w:smallCaps/>
          <w:szCs w:val="23"/>
          <w:lang w:val="es-MX"/>
        </w:rPr>
        <w:t>2</w:t>
      </w:r>
    </w:p>
    <w:p w:rsidR="00804AB1" w:rsidRDefault="00804AB1" w:rsidP="0079388C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mallCaps/>
          <w:szCs w:val="23"/>
          <w:lang w:val="es-MX"/>
        </w:rPr>
        <w:t xml:space="preserve">Rango de Medición </w:t>
      </w:r>
    </w:p>
    <w:bookmarkStart w:id="0" w:name="_MON_1550905748"/>
    <w:bookmarkEnd w:id="0"/>
    <w:p w:rsidR="00174C8E" w:rsidRDefault="00923A55" w:rsidP="00174C8E">
      <w:pPr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object w:dxaOrig="5468" w:dyaOrig="1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69.75pt" o:ole="">
            <v:imagedata r:id="rId9" o:title=""/>
          </v:shape>
          <o:OLEObject Type="Embed" ProgID="Excel.Sheet.12" ShapeID="_x0000_i1025" DrawAspect="Content" ObjectID="_1554893848" r:id="rId10"/>
        </w:object>
      </w:r>
    </w:p>
    <w:p w:rsidR="008A0339" w:rsidRPr="007248F6" w:rsidRDefault="007248F6" w:rsidP="007248F6">
      <w:pPr>
        <w:spacing w:line="360" w:lineRule="auto"/>
        <w:jc w:val="center"/>
        <w:rPr>
          <w:rFonts w:asciiTheme="minorHAnsi" w:hAnsiTheme="minorHAnsi" w:cstheme="minorHAnsi"/>
          <w:sz w:val="18"/>
          <w:szCs w:val="23"/>
        </w:rPr>
      </w:pPr>
      <w:r w:rsidRPr="007248F6">
        <w:rPr>
          <w:rFonts w:asciiTheme="minorHAnsi" w:hAnsiTheme="minorHAnsi" w:cstheme="minorHAnsi"/>
          <w:sz w:val="18"/>
          <w:szCs w:val="23"/>
        </w:rPr>
        <w:t>Fuente: Plan Estratégico Institucional 2016-2019</w:t>
      </w:r>
    </w:p>
    <w:p w:rsidR="007248F6" w:rsidRPr="00923A55" w:rsidRDefault="007248F6" w:rsidP="008557DF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</w:p>
    <w:p w:rsidR="00175D06" w:rsidRDefault="00F00F41" w:rsidP="008557DF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El </w:t>
      </w:r>
      <w:r w:rsidR="00F9219D">
        <w:rPr>
          <w:rFonts w:asciiTheme="minorHAnsi" w:hAnsiTheme="minorHAnsi" w:cstheme="minorHAnsi"/>
          <w:sz w:val="23"/>
          <w:szCs w:val="23"/>
        </w:rPr>
        <w:t xml:space="preserve">proceso de </w:t>
      </w:r>
      <w:r>
        <w:rPr>
          <w:rFonts w:asciiTheme="minorHAnsi" w:hAnsiTheme="minorHAnsi" w:cstheme="minorHAnsi"/>
          <w:sz w:val="23"/>
          <w:szCs w:val="23"/>
        </w:rPr>
        <w:t xml:space="preserve">seguimiento </w:t>
      </w:r>
      <w:r w:rsidR="00F9219D">
        <w:rPr>
          <w:rFonts w:asciiTheme="minorHAnsi" w:hAnsiTheme="minorHAnsi" w:cstheme="minorHAnsi"/>
          <w:sz w:val="23"/>
          <w:szCs w:val="23"/>
        </w:rPr>
        <w:t>al</w:t>
      </w:r>
      <w:r>
        <w:rPr>
          <w:rFonts w:asciiTheme="minorHAnsi" w:hAnsiTheme="minorHAnsi" w:cstheme="minorHAnsi"/>
          <w:sz w:val="23"/>
          <w:szCs w:val="23"/>
        </w:rPr>
        <w:t xml:space="preserve"> Plan Estratégico </w:t>
      </w:r>
      <w:r w:rsidR="007B54BB">
        <w:rPr>
          <w:rFonts w:asciiTheme="minorHAnsi" w:hAnsiTheme="minorHAnsi" w:cstheme="minorHAnsi"/>
          <w:sz w:val="23"/>
          <w:szCs w:val="23"/>
        </w:rPr>
        <w:t xml:space="preserve">se llevó </w:t>
      </w:r>
      <w:r w:rsidR="00EC31B4">
        <w:rPr>
          <w:rFonts w:asciiTheme="minorHAnsi" w:hAnsiTheme="minorHAnsi" w:cstheme="minorHAnsi"/>
          <w:sz w:val="23"/>
          <w:szCs w:val="23"/>
        </w:rPr>
        <w:t xml:space="preserve">en primera instancia </w:t>
      </w:r>
      <w:r w:rsidR="005E6F62">
        <w:rPr>
          <w:rFonts w:asciiTheme="minorHAnsi" w:hAnsiTheme="minorHAnsi" w:cstheme="minorHAnsi"/>
          <w:sz w:val="23"/>
          <w:szCs w:val="23"/>
        </w:rPr>
        <w:t xml:space="preserve">por medio de </w:t>
      </w:r>
      <w:r w:rsidR="007B54BB">
        <w:rPr>
          <w:rFonts w:asciiTheme="minorHAnsi" w:hAnsiTheme="minorHAnsi" w:cstheme="minorHAnsi"/>
          <w:sz w:val="23"/>
          <w:szCs w:val="23"/>
        </w:rPr>
        <w:t xml:space="preserve">sesiones de trabajo </w:t>
      </w:r>
      <w:r w:rsidR="00EC31B4">
        <w:rPr>
          <w:rFonts w:asciiTheme="minorHAnsi" w:hAnsiTheme="minorHAnsi" w:cstheme="minorHAnsi"/>
          <w:sz w:val="23"/>
          <w:szCs w:val="23"/>
        </w:rPr>
        <w:t>con los responsables</w:t>
      </w:r>
      <w:r w:rsidR="00175D06">
        <w:rPr>
          <w:rFonts w:asciiTheme="minorHAnsi" w:hAnsiTheme="minorHAnsi" w:cstheme="minorHAnsi"/>
          <w:sz w:val="23"/>
          <w:szCs w:val="23"/>
        </w:rPr>
        <w:t xml:space="preserve"> durante el II semestre del periodo 2016</w:t>
      </w:r>
      <w:r w:rsidR="007B54BB">
        <w:rPr>
          <w:rFonts w:asciiTheme="minorHAnsi" w:hAnsiTheme="minorHAnsi" w:cstheme="minorHAnsi"/>
          <w:sz w:val="23"/>
          <w:szCs w:val="23"/>
        </w:rPr>
        <w:t xml:space="preserve">, </w:t>
      </w:r>
      <w:r w:rsidR="00175D06">
        <w:rPr>
          <w:rFonts w:asciiTheme="minorHAnsi" w:hAnsiTheme="minorHAnsi" w:cstheme="minorHAnsi"/>
          <w:sz w:val="23"/>
          <w:szCs w:val="23"/>
        </w:rPr>
        <w:t>con el fin de</w:t>
      </w:r>
      <w:r w:rsidR="00AB013D">
        <w:rPr>
          <w:rFonts w:asciiTheme="minorHAnsi" w:hAnsiTheme="minorHAnsi" w:cstheme="minorHAnsi"/>
          <w:sz w:val="23"/>
          <w:szCs w:val="23"/>
        </w:rPr>
        <w:t xml:space="preserve"> valorar el cumpliment</w:t>
      </w:r>
      <w:r w:rsidR="00175D06">
        <w:rPr>
          <w:rFonts w:asciiTheme="minorHAnsi" w:hAnsiTheme="minorHAnsi" w:cstheme="minorHAnsi"/>
          <w:sz w:val="23"/>
          <w:szCs w:val="23"/>
        </w:rPr>
        <w:t xml:space="preserve">o de las acciones propuestas e ir determinando el debido cumplimiento de los indicadores propuestos. </w:t>
      </w:r>
    </w:p>
    <w:p w:rsidR="00175D06" w:rsidRPr="00923A55" w:rsidRDefault="00175D06" w:rsidP="008557DF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</w:p>
    <w:p w:rsidR="000309E6" w:rsidRDefault="00AB013D" w:rsidP="008557DF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En la primera sesión de trabajo del periodo 2017 se determinó el cumplimiento espec</w:t>
      </w:r>
      <w:r w:rsidR="005E6F62">
        <w:rPr>
          <w:rFonts w:asciiTheme="minorHAnsi" w:hAnsiTheme="minorHAnsi" w:cstheme="minorHAnsi"/>
          <w:sz w:val="23"/>
          <w:szCs w:val="23"/>
        </w:rPr>
        <w:t>í</w:t>
      </w:r>
      <w:r>
        <w:rPr>
          <w:rFonts w:asciiTheme="minorHAnsi" w:hAnsiTheme="minorHAnsi" w:cstheme="minorHAnsi"/>
          <w:sz w:val="23"/>
          <w:szCs w:val="23"/>
        </w:rPr>
        <w:t>fic</w:t>
      </w:r>
      <w:r w:rsidR="005E6F62">
        <w:rPr>
          <w:rFonts w:asciiTheme="minorHAnsi" w:hAnsiTheme="minorHAnsi" w:cstheme="minorHAnsi"/>
          <w:sz w:val="23"/>
          <w:szCs w:val="23"/>
        </w:rPr>
        <w:t>o</w:t>
      </w:r>
      <w:r w:rsidR="00175D06">
        <w:rPr>
          <w:rFonts w:asciiTheme="minorHAnsi" w:hAnsiTheme="minorHAnsi" w:cstheme="minorHAnsi"/>
          <w:sz w:val="23"/>
          <w:szCs w:val="23"/>
        </w:rPr>
        <w:t xml:space="preserve"> de </w:t>
      </w:r>
      <w:r w:rsidR="006C2683">
        <w:rPr>
          <w:rFonts w:asciiTheme="minorHAnsi" w:hAnsiTheme="minorHAnsi" w:cstheme="minorHAnsi"/>
          <w:sz w:val="23"/>
          <w:szCs w:val="23"/>
        </w:rPr>
        <w:t xml:space="preserve">los objetivos; a su vez, se solicitó </w:t>
      </w:r>
      <w:r w:rsidR="00175D06">
        <w:rPr>
          <w:rFonts w:asciiTheme="minorHAnsi" w:hAnsiTheme="minorHAnsi" w:cstheme="minorHAnsi"/>
          <w:sz w:val="23"/>
          <w:szCs w:val="23"/>
        </w:rPr>
        <w:t>la documentación de respaldo para poder validar dicho cumplimiento. Esto conllev</w:t>
      </w:r>
      <w:r w:rsidR="006C2683">
        <w:rPr>
          <w:rFonts w:asciiTheme="minorHAnsi" w:hAnsiTheme="minorHAnsi" w:cstheme="minorHAnsi"/>
          <w:sz w:val="23"/>
          <w:szCs w:val="23"/>
        </w:rPr>
        <w:t>ó</w:t>
      </w:r>
      <w:r w:rsidR="00175D06">
        <w:rPr>
          <w:rFonts w:asciiTheme="minorHAnsi" w:hAnsiTheme="minorHAnsi" w:cstheme="minorHAnsi"/>
          <w:sz w:val="23"/>
          <w:szCs w:val="23"/>
        </w:rPr>
        <w:t xml:space="preserve"> a realizar consultas en los sistemas de información</w:t>
      </w:r>
      <w:r w:rsidR="00AB1BD7">
        <w:rPr>
          <w:rFonts w:asciiTheme="minorHAnsi" w:hAnsiTheme="minorHAnsi" w:cstheme="minorHAnsi"/>
          <w:sz w:val="23"/>
          <w:szCs w:val="23"/>
        </w:rPr>
        <w:t xml:space="preserve"> como el de </w:t>
      </w:r>
      <w:r w:rsidR="00175D06">
        <w:rPr>
          <w:rFonts w:asciiTheme="minorHAnsi" w:hAnsiTheme="minorHAnsi" w:cstheme="minorHAnsi"/>
          <w:sz w:val="23"/>
          <w:szCs w:val="23"/>
        </w:rPr>
        <w:t>vivie</w:t>
      </w:r>
      <w:r w:rsidR="00AB1BD7">
        <w:rPr>
          <w:rFonts w:asciiTheme="minorHAnsi" w:hAnsiTheme="minorHAnsi" w:cstheme="minorHAnsi"/>
          <w:sz w:val="23"/>
          <w:szCs w:val="23"/>
        </w:rPr>
        <w:t>nda y el de recomendaciones de A</w:t>
      </w:r>
      <w:r w:rsidR="006C2683">
        <w:rPr>
          <w:rFonts w:asciiTheme="minorHAnsi" w:hAnsiTheme="minorHAnsi" w:cstheme="minorHAnsi"/>
          <w:sz w:val="23"/>
          <w:szCs w:val="23"/>
        </w:rPr>
        <w:t>uditorí</w:t>
      </w:r>
      <w:r w:rsidR="00175D06">
        <w:rPr>
          <w:rFonts w:asciiTheme="minorHAnsi" w:hAnsiTheme="minorHAnsi" w:cstheme="minorHAnsi"/>
          <w:sz w:val="23"/>
          <w:szCs w:val="23"/>
        </w:rPr>
        <w:t>a</w:t>
      </w:r>
      <w:r w:rsidR="00AB1BD7">
        <w:rPr>
          <w:rFonts w:asciiTheme="minorHAnsi" w:hAnsiTheme="minorHAnsi" w:cstheme="minorHAnsi"/>
          <w:sz w:val="23"/>
          <w:szCs w:val="23"/>
        </w:rPr>
        <w:t xml:space="preserve"> Interna</w:t>
      </w:r>
      <w:r w:rsidR="00175D06">
        <w:rPr>
          <w:rFonts w:asciiTheme="minorHAnsi" w:hAnsiTheme="minorHAnsi" w:cstheme="minorHAnsi"/>
          <w:sz w:val="23"/>
          <w:szCs w:val="23"/>
        </w:rPr>
        <w:t>, a revisar infor</w:t>
      </w:r>
      <w:r w:rsidR="003A4B60">
        <w:rPr>
          <w:rFonts w:asciiTheme="minorHAnsi" w:hAnsiTheme="minorHAnsi" w:cstheme="minorHAnsi"/>
          <w:sz w:val="23"/>
          <w:szCs w:val="23"/>
        </w:rPr>
        <w:t>mes, base de datos, cronogramas</w:t>
      </w:r>
      <w:r w:rsidR="00A76E95">
        <w:rPr>
          <w:rFonts w:asciiTheme="minorHAnsi" w:hAnsiTheme="minorHAnsi" w:cstheme="minorHAnsi"/>
          <w:sz w:val="23"/>
          <w:szCs w:val="23"/>
        </w:rPr>
        <w:t xml:space="preserve"> de trabajo, etc. Asimismo, algunas jefaturas responsables de acciones estratégicas </w:t>
      </w:r>
      <w:r w:rsidR="00AB1BD7">
        <w:rPr>
          <w:rFonts w:asciiTheme="minorHAnsi" w:hAnsiTheme="minorHAnsi" w:cstheme="minorHAnsi"/>
          <w:sz w:val="23"/>
          <w:szCs w:val="23"/>
        </w:rPr>
        <w:t>para</w:t>
      </w:r>
      <w:r w:rsidR="008823B5">
        <w:rPr>
          <w:rFonts w:asciiTheme="minorHAnsi" w:hAnsiTheme="minorHAnsi" w:cstheme="minorHAnsi"/>
          <w:sz w:val="23"/>
          <w:szCs w:val="23"/>
        </w:rPr>
        <w:t xml:space="preserve"> algunos objetivos tomaron la decisión de no establecer acciones para el periodo 2017 dado que</w:t>
      </w:r>
      <w:r w:rsidR="00803EB5">
        <w:rPr>
          <w:rFonts w:asciiTheme="minorHAnsi" w:hAnsiTheme="minorHAnsi" w:cstheme="minorHAnsi"/>
          <w:sz w:val="23"/>
          <w:szCs w:val="23"/>
        </w:rPr>
        <w:t xml:space="preserve"> a su criterio correspondían</w:t>
      </w:r>
      <w:r w:rsidR="008823B5">
        <w:rPr>
          <w:rFonts w:asciiTheme="minorHAnsi" w:hAnsiTheme="minorHAnsi" w:cstheme="minorHAnsi"/>
          <w:sz w:val="23"/>
          <w:szCs w:val="23"/>
        </w:rPr>
        <w:t xml:space="preserve"> a actividades operativas </w:t>
      </w:r>
      <w:r w:rsidR="00803EB5">
        <w:rPr>
          <w:rFonts w:asciiTheme="minorHAnsi" w:hAnsiTheme="minorHAnsi" w:cstheme="minorHAnsi"/>
          <w:sz w:val="23"/>
          <w:szCs w:val="23"/>
        </w:rPr>
        <w:t>del</w:t>
      </w:r>
      <w:r w:rsidR="00A76E95">
        <w:rPr>
          <w:rFonts w:asciiTheme="minorHAnsi" w:hAnsiTheme="minorHAnsi" w:cstheme="minorHAnsi"/>
          <w:sz w:val="23"/>
          <w:szCs w:val="23"/>
        </w:rPr>
        <w:t xml:space="preserve"> día a día; </w:t>
      </w:r>
      <w:r w:rsidR="00803EB5">
        <w:rPr>
          <w:rFonts w:asciiTheme="minorHAnsi" w:hAnsiTheme="minorHAnsi" w:cstheme="minorHAnsi"/>
          <w:sz w:val="23"/>
          <w:szCs w:val="23"/>
        </w:rPr>
        <w:t xml:space="preserve">no así para </w:t>
      </w:r>
      <w:r w:rsidR="00A76E95">
        <w:rPr>
          <w:rFonts w:asciiTheme="minorHAnsi" w:hAnsiTheme="minorHAnsi" w:cstheme="minorHAnsi"/>
          <w:sz w:val="23"/>
          <w:szCs w:val="23"/>
        </w:rPr>
        <w:t>la mayoría de los casos</w:t>
      </w:r>
      <w:r w:rsidR="00803EB5">
        <w:rPr>
          <w:rFonts w:asciiTheme="minorHAnsi" w:hAnsiTheme="minorHAnsi" w:cstheme="minorHAnsi"/>
          <w:sz w:val="23"/>
          <w:szCs w:val="23"/>
        </w:rPr>
        <w:t xml:space="preserve"> que sí</w:t>
      </w:r>
      <w:r w:rsidR="00A76E95">
        <w:rPr>
          <w:rFonts w:asciiTheme="minorHAnsi" w:hAnsiTheme="minorHAnsi" w:cstheme="minorHAnsi"/>
          <w:sz w:val="23"/>
          <w:szCs w:val="23"/>
        </w:rPr>
        <w:t xml:space="preserve"> se establecieron las</w:t>
      </w:r>
      <w:r w:rsidR="00CC45D9">
        <w:rPr>
          <w:rFonts w:asciiTheme="minorHAnsi" w:hAnsiTheme="minorHAnsi" w:cstheme="minorHAnsi"/>
          <w:sz w:val="23"/>
          <w:szCs w:val="23"/>
        </w:rPr>
        <w:t xml:space="preserve"> acciones </w:t>
      </w:r>
      <w:r w:rsidR="00A76E95">
        <w:rPr>
          <w:rFonts w:asciiTheme="minorHAnsi" w:hAnsiTheme="minorHAnsi" w:cstheme="minorHAnsi"/>
          <w:sz w:val="23"/>
          <w:szCs w:val="23"/>
        </w:rPr>
        <w:t>para mejorar el cumplimiento de los o</w:t>
      </w:r>
      <w:r w:rsidR="008823B5">
        <w:rPr>
          <w:rFonts w:asciiTheme="minorHAnsi" w:hAnsiTheme="minorHAnsi" w:cstheme="minorHAnsi"/>
          <w:sz w:val="23"/>
          <w:szCs w:val="23"/>
        </w:rPr>
        <w:t>bjetivo</w:t>
      </w:r>
      <w:r w:rsidR="00A76E95">
        <w:rPr>
          <w:rFonts w:asciiTheme="minorHAnsi" w:hAnsiTheme="minorHAnsi" w:cstheme="minorHAnsi"/>
          <w:sz w:val="23"/>
          <w:szCs w:val="23"/>
        </w:rPr>
        <w:t>s e</w:t>
      </w:r>
      <w:r w:rsidR="008823B5">
        <w:rPr>
          <w:rFonts w:asciiTheme="minorHAnsi" w:hAnsiTheme="minorHAnsi" w:cstheme="minorHAnsi"/>
          <w:sz w:val="23"/>
          <w:szCs w:val="23"/>
        </w:rPr>
        <w:t>stratégico</w:t>
      </w:r>
      <w:r w:rsidR="00A76E95">
        <w:rPr>
          <w:rFonts w:asciiTheme="minorHAnsi" w:hAnsiTheme="minorHAnsi" w:cstheme="minorHAnsi"/>
          <w:sz w:val="23"/>
          <w:szCs w:val="23"/>
        </w:rPr>
        <w:t>s</w:t>
      </w:r>
      <w:r w:rsidR="008823B5">
        <w:rPr>
          <w:rFonts w:asciiTheme="minorHAnsi" w:hAnsiTheme="minorHAnsi" w:cstheme="minorHAnsi"/>
          <w:sz w:val="23"/>
          <w:szCs w:val="23"/>
        </w:rPr>
        <w:t>.</w:t>
      </w:r>
      <w:r w:rsidR="00A76E95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D6D62" w:rsidRPr="00923A55" w:rsidRDefault="007D6D62" w:rsidP="008557DF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</w:p>
    <w:p w:rsidR="007B54BB" w:rsidRDefault="00A76E95" w:rsidP="008557DF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En virtud de lo anterior, a continuación se presentan los resultados del seguimiento de cada objetivo estratégico</w:t>
      </w:r>
      <w:r w:rsidR="00592F3F">
        <w:rPr>
          <w:rFonts w:asciiTheme="minorHAnsi" w:hAnsiTheme="minorHAnsi" w:cstheme="minorHAnsi"/>
          <w:sz w:val="23"/>
          <w:szCs w:val="23"/>
        </w:rPr>
        <w:t>,</w:t>
      </w:r>
      <w:r w:rsidR="007B54BB">
        <w:rPr>
          <w:rFonts w:asciiTheme="minorHAnsi" w:hAnsiTheme="minorHAnsi" w:cstheme="minorHAnsi"/>
          <w:sz w:val="23"/>
          <w:szCs w:val="23"/>
        </w:rPr>
        <w:t xml:space="preserve"> la calificación </w:t>
      </w:r>
      <w:r>
        <w:rPr>
          <w:rFonts w:asciiTheme="minorHAnsi" w:hAnsiTheme="minorHAnsi" w:cstheme="minorHAnsi"/>
          <w:sz w:val="23"/>
          <w:szCs w:val="23"/>
        </w:rPr>
        <w:t>por</w:t>
      </w:r>
      <w:r w:rsidR="007B54BB">
        <w:rPr>
          <w:rFonts w:asciiTheme="minorHAnsi" w:hAnsiTheme="minorHAnsi" w:cstheme="minorHAnsi"/>
          <w:sz w:val="23"/>
          <w:szCs w:val="23"/>
        </w:rPr>
        <w:t xml:space="preserve"> perspectiva </w:t>
      </w:r>
      <w:r>
        <w:rPr>
          <w:rFonts w:asciiTheme="minorHAnsi" w:hAnsiTheme="minorHAnsi" w:cstheme="minorHAnsi"/>
          <w:sz w:val="23"/>
          <w:szCs w:val="23"/>
        </w:rPr>
        <w:t>y</w:t>
      </w:r>
      <w:r w:rsidR="007B54BB">
        <w:rPr>
          <w:rFonts w:asciiTheme="minorHAnsi" w:hAnsiTheme="minorHAnsi" w:cstheme="minorHAnsi"/>
          <w:sz w:val="23"/>
          <w:szCs w:val="23"/>
        </w:rPr>
        <w:t xml:space="preserve"> la calificación global </w:t>
      </w:r>
      <w:r>
        <w:rPr>
          <w:rFonts w:asciiTheme="minorHAnsi" w:hAnsiTheme="minorHAnsi" w:cstheme="minorHAnsi"/>
          <w:sz w:val="23"/>
          <w:szCs w:val="23"/>
        </w:rPr>
        <w:t>a la ejecución del PEI</w:t>
      </w:r>
      <w:r w:rsidR="007B54BB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937F98" w:rsidRPr="00506CF3" w:rsidRDefault="00937F98" w:rsidP="00275630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b/>
          <w:smallCaps/>
          <w:sz w:val="26"/>
          <w:szCs w:val="26"/>
          <w:lang w:val="es-CR"/>
        </w:rPr>
      </w:pPr>
      <w:r w:rsidRPr="00506CF3">
        <w:rPr>
          <w:rFonts w:asciiTheme="minorHAnsi" w:hAnsiTheme="minorHAnsi" w:cstheme="minorHAnsi"/>
          <w:b/>
          <w:smallCaps/>
          <w:sz w:val="26"/>
          <w:szCs w:val="26"/>
          <w:lang w:val="es-CR"/>
        </w:rPr>
        <w:lastRenderedPageBreak/>
        <w:t xml:space="preserve">Resultados </w:t>
      </w:r>
    </w:p>
    <w:p w:rsidR="00937F98" w:rsidRPr="00AB3592" w:rsidRDefault="00937F98" w:rsidP="00937F98">
      <w:pPr>
        <w:ind w:left="600" w:hanging="600"/>
        <w:jc w:val="both"/>
        <w:rPr>
          <w:rFonts w:asciiTheme="minorHAnsi" w:hAnsiTheme="minorHAnsi" w:cstheme="minorHAnsi"/>
          <w:sz w:val="23"/>
          <w:szCs w:val="23"/>
        </w:rPr>
      </w:pPr>
    </w:p>
    <w:p w:rsidR="00200DE5" w:rsidRDefault="00AB3592" w:rsidP="00AB3592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AB3592">
        <w:rPr>
          <w:rFonts w:asciiTheme="minorHAnsi" w:hAnsiTheme="minorHAnsi" w:cstheme="minorHAnsi"/>
          <w:sz w:val="23"/>
          <w:szCs w:val="23"/>
        </w:rPr>
        <w:t>De conformidad con la ejecución del Plan Estratégico Institucional 201</w:t>
      </w:r>
      <w:r>
        <w:rPr>
          <w:rFonts w:asciiTheme="minorHAnsi" w:hAnsiTheme="minorHAnsi" w:cstheme="minorHAnsi"/>
          <w:sz w:val="23"/>
          <w:szCs w:val="23"/>
        </w:rPr>
        <w:t>6</w:t>
      </w:r>
      <w:r w:rsidRPr="00AB3592">
        <w:rPr>
          <w:rFonts w:asciiTheme="minorHAnsi" w:hAnsiTheme="minorHAnsi" w:cstheme="minorHAnsi"/>
          <w:sz w:val="23"/>
          <w:szCs w:val="23"/>
        </w:rPr>
        <w:t>-201</w:t>
      </w:r>
      <w:r>
        <w:rPr>
          <w:rFonts w:asciiTheme="minorHAnsi" w:hAnsiTheme="minorHAnsi" w:cstheme="minorHAnsi"/>
          <w:sz w:val="23"/>
          <w:szCs w:val="23"/>
        </w:rPr>
        <w:t>9</w:t>
      </w:r>
      <w:r w:rsidRPr="00AB3592">
        <w:rPr>
          <w:rFonts w:asciiTheme="minorHAnsi" w:hAnsiTheme="minorHAnsi" w:cstheme="minorHAnsi"/>
          <w:sz w:val="23"/>
          <w:szCs w:val="23"/>
        </w:rPr>
        <w:t xml:space="preserve"> </w:t>
      </w:r>
      <w:r w:rsidR="00A76E95">
        <w:rPr>
          <w:rFonts w:asciiTheme="minorHAnsi" w:hAnsiTheme="minorHAnsi" w:cstheme="minorHAnsi"/>
          <w:sz w:val="23"/>
          <w:szCs w:val="23"/>
        </w:rPr>
        <w:t>a</w:t>
      </w:r>
      <w:r w:rsidR="00D179B5">
        <w:rPr>
          <w:rFonts w:asciiTheme="minorHAnsi" w:hAnsiTheme="minorHAnsi" w:cstheme="minorHAnsi"/>
          <w:sz w:val="23"/>
          <w:szCs w:val="23"/>
        </w:rPr>
        <w:t xml:space="preserve"> la fecha de corte (31/12/2016)</w:t>
      </w:r>
      <w:r w:rsidR="00FE1239">
        <w:rPr>
          <w:rFonts w:asciiTheme="minorHAnsi" w:hAnsiTheme="minorHAnsi" w:cstheme="minorHAnsi"/>
          <w:sz w:val="23"/>
          <w:szCs w:val="23"/>
        </w:rPr>
        <w:t xml:space="preserve"> el resultado </w:t>
      </w:r>
      <w:r>
        <w:rPr>
          <w:rFonts w:asciiTheme="minorHAnsi" w:hAnsiTheme="minorHAnsi" w:cstheme="minorHAnsi"/>
          <w:sz w:val="23"/>
          <w:szCs w:val="23"/>
        </w:rPr>
        <w:t xml:space="preserve">fue de un </w:t>
      </w:r>
      <w:r w:rsidR="00877EF0">
        <w:rPr>
          <w:rFonts w:asciiTheme="minorHAnsi" w:hAnsiTheme="minorHAnsi" w:cstheme="minorHAnsi"/>
          <w:sz w:val="23"/>
          <w:szCs w:val="23"/>
        </w:rPr>
        <w:t>70</w:t>
      </w:r>
      <w:r w:rsidR="003D0091">
        <w:rPr>
          <w:rFonts w:asciiTheme="minorHAnsi" w:hAnsiTheme="minorHAnsi" w:cstheme="minorHAnsi"/>
          <w:sz w:val="23"/>
          <w:szCs w:val="23"/>
        </w:rPr>
        <w:t xml:space="preserve">%, compuesto por la calificación obtenida de las perspectivas; tal y como se muestra: </w:t>
      </w:r>
    </w:p>
    <w:p w:rsidR="00E02162" w:rsidRDefault="00E02162" w:rsidP="007552E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AB3592" w:rsidRPr="00AB3592" w:rsidRDefault="007248F6" w:rsidP="0079388C">
      <w:pPr>
        <w:jc w:val="center"/>
        <w:rPr>
          <w:rFonts w:asciiTheme="minorHAnsi" w:hAnsiTheme="minorHAnsi" w:cstheme="minorHAnsi"/>
          <w:b/>
          <w:smallCaps/>
          <w:szCs w:val="23"/>
          <w:lang w:val="es-MX"/>
        </w:rPr>
      </w:pPr>
      <w:r>
        <w:rPr>
          <w:rFonts w:asciiTheme="minorHAnsi" w:hAnsiTheme="minorHAnsi" w:cstheme="minorHAnsi"/>
          <w:b/>
          <w:smallCaps/>
          <w:szCs w:val="23"/>
          <w:lang w:val="es-MX"/>
        </w:rPr>
        <w:t>Imagen</w:t>
      </w:r>
      <w:r w:rsidR="00AB3592" w:rsidRPr="00AB3592">
        <w:rPr>
          <w:rFonts w:asciiTheme="minorHAnsi" w:hAnsiTheme="minorHAnsi" w:cstheme="minorHAnsi"/>
          <w:b/>
          <w:smallCaps/>
          <w:szCs w:val="23"/>
          <w:lang w:val="es-MX"/>
        </w:rPr>
        <w:t xml:space="preserve"> 1</w:t>
      </w:r>
    </w:p>
    <w:p w:rsidR="00AB3592" w:rsidRPr="00AB3592" w:rsidRDefault="00AB3592" w:rsidP="0079388C">
      <w:pPr>
        <w:jc w:val="center"/>
        <w:rPr>
          <w:rFonts w:asciiTheme="minorHAnsi" w:hAnsiTheme="minorHAnsi" w:cstheme="minorHAnsi"/>
          <w:b/>
          <w:smallCaps/>
          <w:szCs w:val="23"/>
          <w:lang w:val="es-MX"/>
        </w:rPr>
      </w:pPr>
      <w:r w:rsidRPr="00AB3592">
        <w:rPr>
          <w:rFonts w:asciiTheme="minorHAnsi" w:hAnsiTheme="minorHAnsi" w:cstheme="minorHAnsi"/>
          <w:b/>
          <w:smallCaps/>
          <w:szCs w:val="23"/>
          <w:lang w:val="es-MX"/>
        </w:rPr>
        <w:t>Calificación del Plan Estratégico del BANHVI</w:t>
      </w:r>
    </w:p>
    <w:p w:rsidR="00AB3592" w:rsidRDefault="00AB3592" w:rsidP="0079388C">
      <w:pPr>
        <w:jc w:val="center"/>
        <w:rPr>
          <w:rFonts w:asciiTheme="minorHAnsi" w:hAnsiTheme="minorHAnsi" w:cstheme="minorHAnsi"/>
          <w:b/>
          <w:smallCaps/>
          <w:sz w:val="20"/>
          <w:szCs w:val="23"/>
          <w:lang w:val="es-MX"/>
        </w:rPr>
      </w:pPr>
      <w:r>
        <w:rPr>
          <w:rFonts w:asciiTheme="minorHAnsi" w:hAnsiTheme="minorHAnsi" w:cstheme="minorHAnsi"/>
          <w:b/>
          <w:smallCaps/>
          <w:sz w:val="20"/>
          <w:szCs w:val="23"/>
          <w:lang w:val="es-MX"/>
        </w:rPr>
        <w:t>(</w:t>
      </w:r>
      <w:r w:rsidRPr="00AB3592">
        <w:rPr>
          <w:rFonts w:asciiTheme="minorHAnsi" w:hAnsiTheme="minorHAnsi" w:cstheme="minorHAnsi"/>
          <w:b/>
          <w:smallCaps/>
          <w:sz w:val="20"/>
          <w:szCs w:val="23"/>
          <w:lang w:val="es-MX"/>
        </w:rPr>
        <w:t>Al 31 diciembre 2016</w:t>
      </w:r>
      <w:r>
        <w:rPr>
          <w:rFonts w:asciiTheme="minorHAnsi" w:hAnsiTheme="minorHAnsi" w:cstheme="minorHAnsi"/>
          <w:b/>
          <w:smallCaps/>
          <w:sz w:val="20"/>
          <w:szCs w:val="23"/>
          <w:lang w:val="es-MX"/>
        </w:rPr>
        <w:t>)</w:t>
      </w:r>
    </w:p>
    <w:p w:rsidR="00AB3592" w:rsidRPr="00AB3592" w:rsidRDefault="00AB3592" w:rsidP="00AB3592">
      <w:pPr>
        <w:spacing w:line="360" w:lineRule="auto"/>
        <w:jc w:val="center"/>
        <w:rPr>
          <w:rFonts w:asciiTheme="minorHAnsi" w:hAnsiTheme="minorHAnsi" w:cstheme="minorHAnsi"/>
          <w:b/>
          <w:smallCaps/>
          <w:sz w:val="20"/>
          <w:szCs w:val="23"/>
          <w:lang w:val="es-MX"/>
        </w:rPr>
      </w:pPr>
    </w:p>
    <w:p w:rsidR="00E02162" w:rsidRDefault="00877EF0" w:rsidP="007552E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 w:rsidRPr="00877EF0">
        <w:rPr>
          <w:noProof/>
        </w:rPr>
        <w:drawing>
          <wp:inline distT="0" distB="0" distL="0" distR="0" wp14:anchorId="6E5A189F" wp14:editId="116F8B5E">
            <wp:extent cx="5613400" cy="368408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68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5EE" w:rsidRDefault="009215EE" w:rsidP="007552E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E02162" w:rsidRDefault="001C6734" w:rsidP="007552E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Como se puede visualizar la P</w:t>
      </w:r>
      <w:r w:rsidR="00D40BB8">
        <w:rPr>
          <w:rFonts w:asciiTheme="minorHAnsi" w:hAnsiTheme="minorHAnsi" w:cstheme="minorHAnsi"/>
          <w:sz w:val="23"/>
          <w:szCs w:val="23"/>
          <w:lang w:val="es-MX"/>
        </w:rPr>
        <w:t xml:space="preserve">erspectiva </w:t>
      </w:r>
      <w:r>
        <w:rPr>
          <w:rFonts w:asciiTheme="minorHAnsi" w:hAnsiTheme="minorHAnsi" w:cstheme="minorHAnsi"/>
          <w:sz w:val="23"/>
          <w:szCs w:val="23"/>
          <w:lang w:val="es-MX"/>
        </w:rPr>
        <w:t>F</w:t>
      </w:r>
      <w:r w:rsidR="00D40BB8">
        <w:rPr>
          <w:rFonts w:asciiTheme="minorHAnsi" w:hAnsiTheme="minorHAnsi" w:cstheme="minorHAnsi"/>
          <w:sz w:val="23"/>
          <w:szCs w:val="23"/>
          <w:lang w:val="es-MX"/>
        </w:rPr>
        <w:t>inanciera o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btiene una calificación del 97%, </w:t>
      </w:r>
      <w:r w:rsidR="00CE393D">
        <w:rPr>
          <w:rFonts w:asciiTheme="minorHAnsi" w:hAnsiTheme="minorHAnsi" w:cstheme="minorHAnsi"/>
          <w:sz w:val="23"/>
          <w:szCs w:val="23"/>
          <w:lang w:val="es-MX"/>
        </w:rPr>
        <w:t xml:space="preserve">ubicándose en el parámetro de medición </w:t>
      </w:r>
      <w:r w:rsidR="001042D6">
        <w:rPr>
          <w:rFonts w:asciiTheme="minorHAnsi" w:hAnsiTheme="minorHAnsi" w:cstheme="minorHAnsi"/>
          <w:sz w:val="23"/>
          <w:szCs w:val="23"/>
          <w:lang w:val="es-MX"/>
        </w:rPr>
        <w:t>“</w:t>
      </w:r>
      <w:r w:rsidR="00CE393D">
        <w:rPr>
          <w:rFonts w:asciiTheme="minorHAnsi" w:hAnsiTheme="minorHAnsi" w:cstheme="minorHAnsi"/>
          <w:sz w:val="23"/>
          <w:szCs w:val="23"/>
          <w:lang w:val="es-MX"/>
        </w:rPr>
        <w:t>Excelente</w:t>
      </w:r>
      <w:r w:rsidR="001042D6">
        <w:rPr>
          <w:rFonts w:asciiTheme="minorHAnsi" w:hAnsiTheme="minorHAnsi" w:cstheme="minorHAnsi"/>
          <w:sz w:val="23"/>
          <w:szCs w:val="23"/>
          <w:lang w:val="es-MX"/>
        </w:rPr>
        <w:t>”</w:t>
      </w:r>
      <w:r w:rsidR="00D40BB8">
        <w:rPr>
          <w:rFonts w:asciiTheme="minorHAnsi" w:hAnsiTheme="minorHAnsi" w:cstheme="minorHAnsi"/>
          <w:sz w:val="23"/>
          <w:szCs w:val="23"/>
          <w:lang w:val="es-MX"/>
        </w:rPr>
        <w:t xml:space="preserve">; las perspectivas de </w:t>
      </w:r>
      <w:r w:rsidR="001042D6">
        <w:rPr>
          <w:rFonts w:asciiTheme="minorHAnsi" w:hAnsiTheme="minorHAnsi" w:cstheme="minorHAnsi"/>
          <w:sz w:val="23"/>
          <w:szCs w:val="23"/>
          <w:lang w:val="es-MX"/>
        </w:rPr>
        <w:t>P</w:t>
      </w:r>
      <w:r w:rsidR="00D40BB8">
        <w:rPr>
          <w:rFonts w:asciiTheme="minorHAnsi" w:hAnsiTheme="minorHAnsi" w:cstheme="minorHAnsi"/>
          <w:sz w:val="23"/>
          <w:szCs w:val="23"/>
          <w:lang w:val="es-MX"/>
        </w:rPr>
        <w:t xml:space="preserve">rocesos </w:t>
      </w:r>
      <w:r w:rsidR="001042D6">
        <w:rPr>
          <w:rFonts w:asciiTheme="minorHAnsi" w:hAnsiTheme="minorHAnsi" w:cstheme="minorHAnsi"/>
          <w:sz w:val="23"/>
          <w:szCs w:val="23"/>
          <w:lang w:val="es-MX"/>
        </w:rPr>
        <w:t>Internos (7</w:t>
      </w:r>
      <w:r w:rsidR="002C2E60">
        <w:rPr>
          <w:rFonts w:asciiTheme="minorHAnsi" w:hAnsiTheme="minorHAnsi" w:cstheme="minorHAnsi"/>
          <w:sz w:val="23"/>
          <w:szCs w:val="23"/>
          <w:lang w:val="es-MX"/>
        </w:rPr>
        <w:t>1</w:t>
      </w:r>
      <w:r w:rsidR="001042D6">
        <w:rPr>
          <w:rFonts w:asciiTheme="minorHAnsi" w:hAnsiTheme="minorHAnsi" w:cstheme="minorHAnsi"/>
          <w:sz w:val="23"/>
          <w:szCs w:val="23"/>
          <w:lang w:val="es-MX"/>
        </w:rPr>
        <w:t>%) y C</w:t>
      </w:r>
      <w:r w:rsidR="00D40BB8">
        <w:rPr>
          <w:rFonts w:asciiTheme="minorHAnsi" w:hAnsiTheme="minorHAnsi" w:cstheme="minorHAnsi"/>
          <w:sz w:val="23"/>
          <w:szCs w:val="23"/>
          <w:lang w:val="es-MX"/>
        </w:rPr>
        <w:t xml:space="preserve">apacidad </w:t>
      </w:r>
      <w:r w:rsidR="001042D6">
        <w:rPr>
          <w:rFonts w:asciiTheme="minorHAnsi" w:hAnsiTheme="minorHAnsi" w:cstheme="minorHAnsi"/>
          <w:sz w:val="23"/>
          <w:szCs w:val="23"/>
          <w:lang w:val="es-MX"/>
        </w:rPr>
        <w:t>O</w:t>
      </w:r>
      <w:r w:rsidR="00D40BB8">
        <w:rPr>
          <w:rFonts w:asciiTheme="minorHAnsi" w:hAnsiTheme="minorHAnsi" w:cstheme="minorHAnsi"/>
          <w:sz w:val="23"/>
          <w:szCs w:val="23"/>
          <w:lang w:val="es-MX"/>
        </w:rPr>
        <w:t xml:space="preserve">rganizacional (67%) </w:t>
      </w:r>
      <w:r w:rsidR="00CE393D">
        <w:rPr>
          <w:rFonts w:asciiTheme="minorHAnsi" w:hAnsiTheme="minorHAnsi" w:cstheme="minorHAnsi"/>
          <w:sz w:val="23"/>
          <w:szCs w:val="23"/>
          <w:lang w:val="es-MX"/>
        </w:rPr>
        <w:t xml:space="preserve">se ubican en el rango de medición aceptable y por último la perspectiva de Grupos de Interés (47%) en el rango de Necesidad de Mejora. </w:t>
      </w:r>
    </w:p>
    <w:p w:rsidR="00C50C6D" w:rsidRDefault="00C50C6D" w:rsidP="007552E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B036D7" w:rsidRDefault="00B036D7" w:rsidP="007552E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lastRenderedPageBreak/>
        <w:t xml:space="preserve">A continuación, </w:t>
      </w:r>
      <w:r w:rsidR="00B02F50">
        <w:rPr>
          <w:rFonts w:asciiTheme="minorHAnsi" w:hAnsiTheme="minorHAnsi" w:cstheme="minorHAnsi"/>
          <w:sz w:val="23"/>
          <w:szCs w:val="23"/>
          <w:lang w:val="es-MX"/>
        </w:rPr>
        <w:t xml:space="preserve">se presenta para cada objetivo un resumen de su ejecución al periodo evaluado y en el Anexo 1 el detalle por perspectiva, objetivo e indicador. </w:t>
      </w:r>
    </w:p>
    <w:p w:rsidR="00B02F50" w:rsidRDefault="00B02F50" w:rsidP="007552E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C50C6D" w:rsidRPr="00506CF3" w:rsidRDefault="00C50C6D" w:rsidP="00C50C6D">
      <w:pPr>
        <w:pStyle w:val="Textoindependiente"/>
        <w:numPr>
          <w:ilvl w:val="1"/>
          <w:numId w:val="1"/>
        </w:numPr>
        <w:rPr>
          <w:rFonts w:asciiTheme="minorHAnsi" w:hAnsiTheme="minorHAnsi" w:cstheme="minorHAnsi"/>
          <w:b/>
          <w:smallCaps/>
          <w:sz w:val="26"/>
          <w:szCs w:val="26"/>
          <w:lang w:val="es-CR"/>
        </w:rPr>
      </w:pPr>
      <w:r>
        <w:rPr>
          <w:rFonts w:asciiTheme="minorHAnsi" w:hAnsiTheme="minorHAnsi" w:cstheme="minorHAnsi"/>
          <w:b/>
          <w:smallCaps/>
          <w:sz w:val="26"/>
          <w:szCs w:val="26"/>
          <w:lang w:val="es-CR"/>
        </w:rPr>
        <w:t xml:space="preserve"> </w:t>
      </w:r>
      <w:r w:rsidR="00BC7DB5">
        <w:rPr>
          <w:rFonts w:asciiTheme="minorHAnsi" w:hAnsiTheme="minorHAnsi" w:cstheme="minorHAnsi"/>
          <w:b/>
          <w:smallCaps/>
          <w:sz w:val="26"/>
          <w:szCs w:val="26"/>
          <w:lang w:val="es-CR"/>
        </w:rPr>
        <w:t xml:space="preserve">Perspectiva Capacidad Organizacional </w:t>
      </w:r>
    </w:p>
    <w:p w:rsidR="004F53D1" w:rsidRPr="002D005F" w:rsidRDefault="006D0D6E" w:rsidP="007552E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 w:rsidRPr="002D005F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</w:p>
    <w:p w:rsidR="007552E6" w:rsidRDefault="00EA330E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L</w:t>
      </w:r>
      <w:r w:rsidR="00217EF4" w:rsidRPr="00217EF4">
        <w:rPr>
          <w:rFonts w:asciiTheme="minorHAnsi" w:hAnsiTheme="minorHAnsi" w:cstheme="minorHAnsi"/>
          <w:sz w:val="23"/>
          <w:szCs w:val="23"/>
          <w:lang w:val="es-MX"/>
        </w:rPr>
        <w:t>a calificaci</w:t>
      </w:r>
      <w:r w:rsidR="00B34632">
        <w:rPr>
          <w:rFonts w:asciiTheme="minorHAnsi" w:hAnsiTheme="minorHAnsi" w:cstheme="minorHAnsi"/>
          <w:sz w:val="23"/>
          <w:szCs w:val="23"/>
          <w:lang w:val="es-MX"/>
        </w:rPr>
        <w:t>ón obtenida</w:t>
      </w:r>
      <w:r w:rsidR="00217EF4"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 de esta </w:t>
      </w:r>
      <w:r w:rsidR="00D47B88">
        <w:rPr>
          <w:rFonts w:asciiTheme="minorHAnsi" w:hAnsiTheme="minorHAnsi" w:cstheme="minorHAnsi"/>
          <w:sz w:val="23"/>
          <w:szCs w:val="23"/>
          <w:lang w:val="es-MX"/>
        </w:rPr>
        <w:t xml:space="preserve">perspectiva </w:t>
      </w:r>
      <w:r w:rsidR="00E956EA">
        <w:rPr>
          <w:rFonts w:asciiTheme="minorHAnsi" w:hAnsiTheme="minorHAnsi" w:cstheme="minorHAnsi"/>
          <w:sz w:val="23"/>
          <w:szCs w:val="23"/>
          <w:lang w:val="es-MX"/>
        </w:rPr>
        <w:t>fue de un 67% y está conformada</w:t>
      </w:r>
      <w:r w:rsidR="00217EF4"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 por 3 objetivos</w:t>
      </w:r>
      <w:r w:rsidR="00C6404A">
        <w:rPr>
          <w:rFonts w:asciiTheme="minorHAnsi" w:hAnsiTheme="minorHAnsi" w:cstheme="minorHAnsi"/>
          <w:sz w:val="23"/>
          <w:szCs w:val="23"/>
          <w:lang w:val="es-MX"/>
        </w:rPr>
        <w:t xml:space="preserve"> de</w:t>
      </w:r>
      <w:r w:rsidR="00217EF4"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 los cuales su </w:t>
      </w:r>
      <w:r w:rsidR="00B663AA">
        <w:rPr>
          <w:rFonts w:asciiTheme="minorHAnsi" w:hAnsiTheme="minorHAnsi" w:cstheme="minorHAnsi"/>
          <w:sz w:val="23"/>
          <w:szCs w:val="23"/>
          <w:lang w:val="es-MX"/>
        </w:rPr>
        <w:t>cumplimiento</w:t>
      </w:r>
      <w:r w:rsidR="00D179B5">
        <w:rPr>
          <w:rFonts w:asciiTheme="minorHAnsi" w:hAnsiTheme="minorHAnsi" w:cstheme="minorHAnsi"/>
          <w:sz w:val="23"/>
          <w:szCs w:val="23"/>
          <w:lang w:val="es-MX"/>
        </w:rPr>
        <w:t xml:space="preserve"> se presenta en el siguiente cuadro:</w:t>
      </w:r>
    </w:p>
    <w:p w:rsidR="00D179B5" w:rsidRDefault="00D179B5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427431" w:rsidRPr="00EA0B84" w:rsidRDefault="00EA0B84" w:rsidP="00EA0B84">
      <w:pPr>
        <w:jc w:val="center"/>
        <w:rPr>
          <w:rFonts w:asciiTheme="minorHAnsi" w:hAnsiTheme="minorHAnsi" w:cstheme="minorHAnsi"/>
          <w:b/>
          <w:smallCaps/>
          <w:sz w:val="22"/>
          <w:szCs w:val="23"/>
          <w:lang w:val="es-MX"/>
        </w:rPr>
      </w:pPr>
      <w:r w:rsidRPr="00EA0B84">
        <w:rPr>
          <w:rFonts w:asciiTheme="minorHAnsi" w:hAnsiTheme="minorHAnsi" w:cstheme="minorHAnsi"/>
          <w:b/>
          <w:smallCaps/>
          <w:sz w:val="22"/>
          <w:szCs w:val="23"/>
          <w:lang w:val="es-MX"/>
        </w:rPr>
        <w:t>Cuadro 3</w:t>
      </w:r>
    </w:p>
    <w:p w:rsidR="00EA0B84" w:rsidRDefault="00EA0B84" w:rsidP="00EA0B84">
      <w:pPr>
        <w:jc w:val="center"/>
        <w:rPr>
          <w:rFonts w:asciiTheme="minorHAnsi" w:hAnsiTheme="minorHAnsi" w:cstheme="minorHAnsi"/>
          <w:b/>
          <w:smallCaps/>
          <w:sz w:val="22"/>
          <w:szCs w:val="23"/>
          <w:lang w:val="es-MX"/>
        </w:rPr>
      </w:pPr>
      <w:r w:rsidRPr="00EA0B84">
        <w:rPr>
          <w:rFonts w:asciiTheme="minorHAnsi" w:hAnsiTheme="minorHAnsi" w:cstheme="minorHAnsi"/>
          <w:b/>
          <w:smallCaps/>
          <w:sz w:val="22"/>
          <w:szCs w:val="23"/>
          <w:lang w:val="es-MX"/>
        </w:rPr>
        <w:t>Composición de la Perspectiva</w:t>
      </w:r>
    </w:p>
    <w:p w:rsidR="00EA0B84" w:rsidRPr="00EA0B84" w:rsidRDefault="00EA0B84" w:rsidP="00EA0B84">
      <w:pPr>
        <w:jc w:val="center"/>
        <w:rPr>
          <w:rFonts w:asciiTheme="minorHAnsi" w:hAnsiTheme="minorHAnsi" w:cstheme="minorHAnsi"/>
          <w:b/>
          <w:smallCaps/>
          <w:sz w:val="22"/>
          <w:szCs w:val="23"/>
          <w:lang w:val="es-MX"/>
        </w:rPr>
      </w:pP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2410"/>
        <w:gridCol w:w="2126"/>
        <w:gridCol w:w="1134"/>
        <w:gridCol w:w="1138"/>
        <w:gridCol w:w="1341"/>
        <w:gridCol w:w="1524"/>
      </w:tblGrid>
      <w:tr w:rsidR="0069509B" w:rsidRPr="00452C15" w:rsidTr="00C35A4D">
        <w:trPr>
          <w:trHeight w:val="256"/>
          <w:jc w:val="center"/>
        </w:trPr>
        <w:tc>
          <w:tcPr>
            <w:tcW w:w="3244" w:type="dxa"/>
            <w:gridSpan w:val="2"/>
            <w:vMerge w:val="restart"/>
            <w:shd w:val="clear" w:color="auto" w:fill="DBE5F1" w:themeFill="accent1" w:themeFillTint="33"/>
            <w:vAlign w:val="center"/>
            <w:hideMark/>
          </w:tcPr>
          <w:p w:rsidR="0069509B" w:rsidRPr="00452C15" w:rsidRDefault="0069509B" w:rsidP="00402C63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  <w:lang w:val="es-CR" w:eastAsia="es-CR"/>
              </w:rPr>
            </w:pPr>
            <w:r w:rsidRPr="00452C15">
              <w:rPr>
                <w:rFonts w:ascii="Calibri" w:hAnsi="Calibri"/>
                <w:b/>
                <w:bCs/>
                <w:sz w:val="21"/>
                <w:szCs w:val="21"/>
                <w:lang w:val="es-CR" w:eastAsia="es-CR"/>
              </w:rPr>
              <w:t>Objetivo Estratégico</w:t>
            </w:r>
          </w:p>
        </w:tc>
        <w:tc>
          <w:tcPr>
            <w:tcW w:w="2126" w:type="dxa"/>
            <w:vMerge w:val="restart"/>
            <w:shd w:val="clear" w:color="auto" w:fill="DBE5F1" w:themeFill="accent1" w:themeFillTint="33"/>
            <w:vAlign w:val="center"/>
            <w:hideMark/>
          </w:tcPr>
          <w:p w:rsidR="0069509B" w:rsidRPr="00452C15" w:rsidRDefault="0069509B" w:rsidP="00402C63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  <w:lang w:val="es-CR" w:eastAsia="es-CR"/>
              </w:rPr>
            </w:pPr>
            <w:r w:rsidRPr="00452C15">
              <w:rPr>
                <w:rFonts w:ascii="Calibri" w:hAnsi="Calibri"/>
                <w:b/>
                <w:bCs/>
                <w:sz w:val="21"/>
                <w:szCs w:val="21"/>
                <w:lang w:val="es-CR" w:eastAsia="es-CR"/>
              </w:rPr>
              <w:t>Indicador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  <w:hideMark/>
          </w:tcPr>
          <w:p w:rsidR="0069509B" w:rsidRPr="00452C15" w:rsidRDefault="0069509B" w:rsidP="00402C63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  <w:lang w:val="es-CR" w:eastAsia="es-CR"/>
              </w:rPr>
            </w:pPr>
            <w:r w:rsidRPr="00452C15">
              <w:rPr>
                <w:rFonts w:ascii="Calibri" w:hAnsi="Calibri"/>
                <w:b/>
                <w:bCs/>
                <w:sz w:val="21"/>
                <w:szCs w:val="21"/>
                <w:lang w:val="es-CR" w:eastAsia="es-CR"/>
              </w:rPr>
              <w:t>Meta 2016</w:t>
            </w:r>
          </w:p>
        </w:tc>
        <w:tc>
          <w:tcPr>
            <w:tcW w:w="1138" w:type="dxa"/>
            <w:vMerge w:val="restart"/>
            <w:shd w:val="clear" w:color="auto" w:fill="DBE5F1" w:themeFill="accent1" w:themeFillTint="33"/>
            <w:vAlign w:val="center"/>
            <w:hideMark/>
          </w:tcPr>
          <w:p w:rsidR="0069509B" w:rsidRPr="00452C15" w:rsidRDefault="0069509B" w:rsidP="00402C63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  <w:lang w:val="es-CR" w:eastAsia="es-CR"/>
              </w:rPr>
            </w:pPr>
            <w:r w:rsidRPr="00452C15">
              <w:rPr>
                <w:rFonts w:ascii="Calibri" w:hAnsi="Calibri"/>
                <w:b/>
                <w:bCs/>
                <w:sz w:val="21"/>
                <w:szCs w:val="21"/>
                <w:lang w:val="es-CR" w:eastAsia="es-CR"/>
              </w:rPr>
              <w:t>Resultado</w:t>
            </w:r>
          </w:p>
        </w:tc>
        <w:tc>
          <w:tcPr>
            <w:tcW w:w="1341" w:type="dxa"/>
            <w:vMerge w:val="restart"/>
            <w:shd w:val="clear" w:color="auto" w:fill="DBE5F1" w:themeFill="accent1" w:themeFillTint="33"/>
            <w:vAlign w:val="center"/>
            <w:hideMark/>
          </w:tcPr>
          <w:p w:rsidR="0069509B" w:rsidRPr="00452C15" w:rsidRDefault="0069509B" w:rsidP="00402C63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  <w:lang w:val="es-CR" w:eastAsia="es-CR"/>
              </w:rPr>
            </w:pPr>
            <w:r w:rsidRPr="00452C15">
              <w:rPr>
                <w:rFonts w:ascii="Calibri" w:hAnsi="Calibri"/>
                <w:b/>
                <w:bCs/>
                <w:sz w:val="21"/>
                <w:szCs w:val="21"/>
                <w:lang w:val="es-CR" w:eastAsia="es-CR"/>
              </w:rPr>
              <w:t>Puntuación</w:t>
            </w:r>
          </w:p>
        </w:tc>
        <w:tc>
          <w:tcPr>
            <w:tcW w:w="1524" w:type="dxa"/>
            <w:vMerge w:val="restart"/>
            <w:shd w:val="clear" w:color="auto" w:fill="DBE5F1" w:themeFill="accent1" w:themeFillTint="33"/>
            <w:vAlign w:val="center"/>
            <w:hideMark/>
          </w:tcPr>
          <w:p w:rsidR="0069509B" w:rsidRPr="00452C15" w:rsidRDefault="0069509B" w:rsidP="00402C63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  <w:lang w:val="es-CR" w:eastAsia="es-CR"/>
              </w:rPr>
            </w:pPr>
            <w:r w:rsidRPr="00452C15">
              <w:rPr>
                <w:rFonts w:ascii="Calibri" w:hAnsi="Calibri"/>
                <w:b/>
                <w:bCs/>
                <w:sz w:val="21"/>
                <w:szCs w:val="21"/>
                <w:lang w:val="es-CR" w:eastAsia="es-CR"/>
              </w:rPr>
              <w:t>Ponderación de OE</w:t>
            </w:r>
          </w:p>
        </w:tc>
      </w:tr>
      <w:tr w:rsidR="0069509B" w:rsidRPr="00452C15" w:rsidTr="00C35A4D">
        <w:trPr>
          <w:trHeight w:val="269"/>
          <w:jc w:val="center"/>
        </w:trPr>
        <w:tc>
          <w:tcPr>
            <w:tcW w:w="3244" w:type="dxa"/>
            <w:gridSpan w:val="2"/>
            <w:vMerge/>
            <w:shd w:val="clear" w:color="auto" w:fill="DBE5F1" w:themeFill="accent1" w:themeFillTint="33"/>
            <w:vAlign w:val="center"/>
            <w:hideMark/>
          </w:tcPr>
          <w:p w:rsidR="0069509B" w:rsidRPr="00452C15" w:rsidRDefault="0069509B" w:rsidP="00452C15">
            <w:pPr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2126" w:type="dxa"/>
            <w:vMerge/>
            <w:shd w:val="clear" w:color="auto" w:fill="DBE5F1" w:themeFill="accent1" w:themeFillTint="33"/>
            <w:vAlign w:val="center"/>
            <w:hideMark/>
          </w:tcPr>
          <w:p w:rsidR="0069509B" w:rsidRPr="00452C15" w:rsidRDefault="0069509B" w:rsidP="00452C15">
            <w:pPr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  <w:hideMark/>
          </w:tcPr>
          <w:p w:rsidR="0069509B" w:rsidRPr="00452C15" w:rsidRDefault="0069509B" w:rsidP="00452C15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  <w:tc>
          <w:tcPr>
            <w:tcW w:w="1138" w:type="dxa"/>
            <w:vMerge/>
            <w:shd w:val="clear" w:color="auto" w:fill="DBE5F1" w:themeFill="accent1" w:themeFillTint="33"/>
            <w:vAlign w:val="center"/>
            <w:hideMark/>
          </w:tcPr>
          <w:p w:rsidR="0069509B" w:rsidRPr="00452C15" w:rsidRDefault="0069509B" w:rsidP="00452C15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  <w:tc>
          <w:tcPr>
            <w:tcW w:w="1341" w:type="dxa"/>
            <w:vMerge/>
            <w:shd w:val="clear" w:color="auto" w:fill="DBE5F1" w:themeFill="accent1" w:themeFillTint="33"/>
            <w:vAlign w:val="center"/>
            <w:hideMark/>
          </w:tcPr>
          <w:p w:rsidR="0069509B" w:rsidRPr="00452C15" w:rsidRDefault="0069509B" w:rsidP="00452C15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  <w:tc>
          <w:tcPr>
            <w:tcW w:w="1524" w:type="dxa"/>
            <w:vMerge/>
            <w:shd w:val="clear" w:color="auto" w:fill="DBE5F1" w:themeFill="accent1" w:themeFillTint="33"/>
            <w:vAlign w:val="center"/>
            <w:hideMark/>
          </w:tcPr>
          <w:p w:rsidR="0069509B" w:rsidRPr="00452C15" w:rsidRDefault="0069509B" w:rsidP="00452C15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</w:tr>
      <w:tr w:rsidR="0069509B" w:rsidRPr="00452C15" w:rsidTr="00C35A4D">
        <w:trPr>
          <w:trHeight w:val="600"/>
          <w:jc w:val="center"/>
        </w:trPr>
        <w:tc>
          <w:tcPr>
            <w:tcW w:w="834" w:type="dxa"/>
            <w:shd w:val="clear" w:color="000000" w:fill="FFFFFF"/>
            <w:vAlign w:val="center"/>
            <w:hideMark/>
          </w:tcPr>
          <w:p w:rsidR="0069509B" w:rsidRPr="00452C15" w:rsidRDefault="0069509B" w:rsidP="00452C15">
            <w:pPr>
              <w:jc w:val="center"/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  <w:t>PCO-01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9509B" w:rsidRPr="00452C15" w:rsidRDefault="0069509B" w:rsidP="00452C15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452C15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Contar con personal de alto desempeño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69509B" w:rsidRPr="00452C15" w:rsidRDefault="0069509B" w:rsidP="00B86F5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452C15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Porcentaje de funcionarios con calificación  mayor al 85%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509B" w:rsidRPr="00452C15" w:rsidRDefault="001D5834" w:rsidP="007B04B2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85</w:t>
            </w:r>
            <w:r w:rsidR="0069509B" w:rsidRPr="00452C15">
              <w:rPr>
                <w:rFonts w:ascii="Calibri" w:hAnsi="Calibri"/>
                <w:sz w:val="20"/>
                <w:szCs w:val="20"/>
                <w:lang w:val="es-CR" w:eastAsia="es-CR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69509B" w:rsidRPr="00452C15" w:rsidRDefault="007B04B2" w:rsidP="007B04B2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0</w:t>
            </w:r>
            <w:r w:rsidRPr="00452C15">
              <w:rPr>
                <w:rFonts w:ascii="Calibri" w:hAnsi="Calibri"/>
                <w:sz w:val="20"/>
                <w:szCs w:val="20"/>
                <w:lang w:val="es-CR" w:eastAsia="es-CR"/>
              </w:rPr>
              <w:t xml:space="preserve"> </w:t>
            </w:r>
            <w:r w:rsidR="0069509B" w:rsidRPr="00452C15">
              <w:rPr>
                <w:rFonts w:ascii="Calibri" w:hAnsi="Calibri"/>
                <w:sz w:val="20"/>
                <w:szCs w:val="20"/>
                <w:lang w:val="es-CR" w:eastAsia="es-CR"/>
              </w:rPr>
              <w:t>%</w:t>
            </w:r>
          </w:p>
        </w:tc>
        <w:tc>
          <w:tcPr>
            <w:tcW w:w="1341" w:type="dxa"/>
            <w:shd w:val="clear" w:color="000000" w:fill="FF0000"/>
            <w:vAlign w:val="center"/>
            <w:hideMark/>
          </w:tcPr>
          <w:p w:rsidR="0069509B" w:rsidRPr="00A67F3E" w:rsidRDefault="0069509B" w:rsidP="00E27757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0"/>
                <w:lang w:val="es-CR" w:eastAsia="es-CR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0"/>
                <w:lang w:val="es-CR" w:eastAsia="es-CR"/>
              </w:rPr>
              <w:t>0</w:t>
            </w:r>
            <w:r w:rsidRPr="00A67F3E">
              <w:rPr>
                <w:rFonts w:ascii="Calibri" w:hAnsi="Calibri"/>
                <w:b/>
                <w:bCs/>
                <w:color w:val="FFFFFF"/>
                <w:sz w:val="22"/>
                <w:szCs w:val="20"/>
                <w:lang w:val="es-CR" w:eastAsia="es-CR"/>
              </w:rPr>
              <w:t>%</w:t>
            </w:r>
          </w:p>
        </w:tc>
        <w:tc>
          <w:tcPr>
            <w:tcW w:w="1524" w:type="dxa"/>
            <w:shd w:val="clear" w:color="auto" w:fill="FF0000"/>
            <w:vAlign w:val="center"/>
            <w:hideMark/>
          </w:tcPr>
          <w:p w:rsidR="0069509B" w:rsidRPr="00E27757" w:rsidRDefault="0069509B" w:rsidP="00452C15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 w:rsidRPr="00E27757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0%</w:t>
            </w:r>
          </w:p>
        </w:tc>
      </w:tr>
      <w:tr w:rsidR="0069509B" w:rsidRPr="00452C15" w:rsidTr="00C35A4D">
        <w:trPr>
          <w:trHeight w:val="600"/>
          <w:jc w:val="center"/>
        </w:trPr>
        <w:tc>
          <w:tcPr>
            <w:tcW w:w="834" w:type="dxa"/>
            <w:shd w:val="clear" w:color="000000" w:fill="FFFFFF"/>
            <w:vAlign w:val="center"/>
            <w:hideMark/>
          </w:tcPr>
          <w:p w:rsidR="0069509B" w:rsidRPr="00452C15" w:rsidRDefault="0069509B" w:rsidP="00452C15">
            <w:pPr>
              <w:jc w:val="center"/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  <w:t>PCO-02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9509B" w:rsidRPr="00452C15" w:rsidRDefault="0069509B" w:rsidP="00452C15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452C15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Mejorar la plataforma de TI de acuerdo a las necesidades del negocio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69509B" w:rsidRPr="00452C15" w:rsidRDefault="0069509B" w:rsidP="00B86F5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452C15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Resultado de encuesta a usuarios internos y entidades autorizadas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509B" w:rsidRPr="00452C15" w:rsidRDefault="001D5834" w:rsidP="007B04B2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75</w:t>
            </w:r>
            <w:r w:rsidR="0069509B" w:rsidRPr="00452C15">
              <w:rPr>
                <w:rFonts w:ascii="Calibri" w:hAnsi="Calibri"/>
                <w:sz w:val="20"/>
                <w:szCs w:val="20"/>
                <w:lang w:val="es-CR" w:eastAsia="es-CR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69509B" w:rsidRPr="00452C15" w:rsidRDefault="0069509B" w:rsidP="007B04B2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 w:rsidRPr="00452C15">
              <w:rPr>
                <w:rFonts w:ascii="Calibri" w:hAnsi="Calibri"/>
                <w:sz w:val="20"/>
                <w:szCs w:val="20"/>
                <w:lang w:val="es-CR" w:eastAsia="es-CR"/>
              </w:rPr>
              <w:t>77%</w:t>
            </w:r>
          </w:p>
        </w:tc>
        <w:tc>
          <w:tcPr>
            <w:tcW w:w="1341" w:type="dxa"/>
            <w:shd w:val="clear" w:color="000000" w:fill="3366FF"/>
            <w:vAlign w:val="center"/>
            <w:hideMark/>
          </w:tcPr>
          <w:p w:rsidR="0069509B" w:rsidRPr="00A67F3E" w:rsidRDefault="0069509B" w:rsidP="00452C1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0"/>
                <w:lang w:val="es-CR" w:eastAsia="es-CR"/>
              </w:rPr>
            </w:pPr>
            <w:r w:rsidRPr="00A67F3E">
              <w:rPr>
                <w:rFonts w:ascii="Calibri" w:hAnsi="Calibri"/>
                <w:b/>
                <w:bCs/>
                <w:color w:val="FFFFFF"/>
                <w:sz w:val="22"/>
                <w:szCs w:val="20"/>
                <w:lang w:val="es-CR" w:eastAsia="es-CR"/>
              </w:rPr>
              <w:t>102.67%</w:t>
            </w:r>
          </w:p>
        </w:tc>
        <w:tc>
          <w:tcPr>
            <w:tcW w:w="1524" w:type="dxa"/>
            <w:shd w:val="clear" w:color="auto" w:fill="00B050"/>
            <w:vAlign w:val="center"/>
            <w:hideMark/>
          </w:tcPr>
          <w:p w:rsidR="0069509B" w:rsidRPr="00E27757" w:rsidRDefault="0069509B" w:rsidP="00452C15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 w:rsidRPr="00E27757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33%</w:t>
            </w:r>
          </w:p>
        </w:tc>
      </w:tr>
      <w:tr w:rsidR="0069509B" w:rsidRPr="00452C15" w:rsidTr="00C35A4D">
        <w:trPr>
          <w:trHeight w:val="615"/>
          <w:jc w:val="center"/>
        </w:trPr>
        <w:tc>
          <w:tcPr>
            <w:tcW w:w="834" w:type="dxa"/>
            <w:shd w:val="clear" w:color="000000" w:fill="FFFFFF"/>
            <w:vAlign w:val="center"/>
            <w:hideMark/>
          </w:tcPr>
          <w:p w:rsidR="0069509B" w:rsidRPr="00452C15" w:rsidRDefault="0069509B" w:rsidP="00452C15">
            <w:pPr>
              <w:jc w:val="center"/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b/>
                <w:bCs/>
                <w:color w:val="003366"/>
                <w:sz w:val="20"/>
                <w:szCs w:val="20"/>
                <w:lang w:val="es-CR" w:eastAsia="es-CR"/>
              </w:rPr>
              <w:t>PCO-03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9509B" w:rsidRPr="00452C15" w:rsidRDefault="0069509B" w:rsidP="00452C15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452C15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Implementar los proyectos de TI satisfactoriamente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69509B" w:rsidRPr="00452C15" w:rsidRDefault="0069509B" w:rsidP="00B86F5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452C15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Porcentaje de proyectos entregados a tiempo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509B" w:rsidRPr="00452C15" w:rsidRDefault="001D5834" w:rsidP="00452C15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20</w:t>
            </w:r>
            <w:r w:rsidR="0069509B" w:rsidRPr="00452C15">
              <w:rPr>
                <w:rFonts w:ascii="Calibri" w:hAnsi="Calibri"/>
                <w:sz w:val="20"/>
                <w:szCs w:val="20"/>
                <w:lang w:val="es-CR" w:eastAsia="es-CR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69509B" w:rsidRPr="00452C15" w:rsidRDefault="0069509B" w:rsidP="007B04B2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 w:rsidRPr="00452C15">
              <w:rPr>
                <w:rFonts w:ascii="Calibri" w:hAnsi="Calibri"/>
                <w:sz w:val="20"/>
                <w:szCs w:val="20"/>
                <w:lang w:val="es-CR" w:eastAsia="es-CR"/>
              </w:rPr>
              <w:t>33%</w:t>
            </w:r>
          </w:p>
        </w:tc>
        <w:tc>
          <w:tcPr>
            <w:tcW w:w="1341" w:type="dxa"/>
            <w:shd w:val="clear" w:color="000000" w:fill="3366FF"/>
            <w:vAlign w:val="center"/>
            <w:hideMark/>
          </w:tcPr>
          <w:p w:rsidR="0069509B" w:rsidRPr="00A67F3E" w:rsidRDefault="00B85ADA" w:rsidP="00452C15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0"/>
                <w:lang w:val="es-CR" w:eastAsia="es-CR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0"/>
                <w:lang w:val="es-CR" w:eastAsia="es-CR"/>
              </w:rPr>
              <w:t>165</w:t>
            </w:r>
            <w:r w:rsidR="0069509B" w:rsidRPr="00A67F3E">
              <w:rPr>
                <w:rFonts w:ascii="Calibri" w:hAnsi="Calibri"/>
                <w:b/>
                <w:bCs/>
                <w:color w:val="FFFFFF"/>
                <w:sz w:val="22"/>
                <w:szCs w:val="20"/>
                <w:lang w:val="es-CR" w:eastAsia="es-CR"/>
              </w:rPr>
              <w:t>%</w:t>
            </w:r>
          </w:p>
        </w:tc>
        <w:tc>
          <w:tcPr>
            <w:tcW w:w="1524" w:type="dxa"/>
            <w:shd w:val="clear" w:color="auto" w:fill="00B050"/>
            <w:vAlign w:val="center"/>
            <w:hideMark/>
          </w:tcPr>
          <w:p w:rsidR="0069509B" w:rsidRPr="00E27757" w:rsidRDefault="0069509B" w:rsidP="00452C15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 w:rsidRPr="00E27757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33%</w:t>
            </w:r>
          </w:p>
        </w:tc>
      </w:tr>
      <w:tr w:rsidR="0069509B" w:rsidRPr="00452C15" w:rsidTr="00C35A4D">
        <w:trPr>
          <w:trHeight w:val="315"/>
          <w:jc w:val="center"/>
        </w:trPr>
        <w:tc>
          <w:tcPr>
            <w:tcW w:w="834" w:type="dxa"/>
            <w:shd w:val="clear" w:color="000000" w:fill="DCE6F1"/>
            <w:vAlign w:val="center"/>
            <w:hideMark/>
          </w:tcPr>
          <w:p w:rsidR="0069509B" w:rsidRPr="00452C15" w:rsidRDefault="0069509B" w:rsidP="00452C1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8149" w:type="dxa"/>
            <w:gridSpan w:val="5"/>
            <w:shd w:val="clear" w:color="000000" w:fill="DCE6F1"/>
            <w:vAlign w:val="center"/>
            <w:hideMark/>
          </w:tcPr>
          <w:p w:rsidR="0069509B" w:rsidRPr="00452C15" w:rsidRDefault="0069509B" w:rsidP="00C26B6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452C1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R" w:eastAsia="es-CR"/>
              </w:rPr>
              <w:t xml:space="preserve">Total OE                                                                                                                            3 </w:t>
            </w:r>
          </w:p>
        </w:tc>
        <w:tc>
          <w:tcPr>
            <w:tcW w:w="1524" w:type="dxa"/>
            <w:shd w:val="clear" w:color="auto" w:fill="FFFF00"/>
            <w:vAlign w:val="center"/>
            <w:hideMark/>
          </w:tcPr>
          <w:p w:rsidR="0069509B" w:rsidRPr="00452C15" w:rsidRDefault="0069509B" w:rsidP="00452C1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452C1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CR" w:eastAsia="es-CR"/>
              </w:rPr>
              <w:t>67%</w:t>
            </w:r>
          </w:p>
        </w:tc>
      </w:tr>
    </w:tbl>
    <w:p w:rsidR="00452C15" w:rsidRPr="005C1EC1" w:rsidRDefault="005C1EC1" w:rsidP="00217EF4">
      <w:pPr>
        <w:spacing w:line="360" w:lineRule="auto"/>
        <w:jc w:val="both"/>
        <w:rPr>
          <w:rFonts w:asciiTheme="minorHAnsi" w:hAnsiTheme="minorHAnsi" w:cstheme="minorHAnsi"/>
          <w:sz w:val="18"/>
          <w:szCs w:val="23"/>
          <w:lang w:val="es-MX"/>
        </w:rPr>
      </w:pPr>
      <w:r w:rsidRPr="005C1EC1">
        <w:rPr>
          <w:rFonts w:asciiTheme="minorHAnsi" w:hAnsiTheme="minorHAnsi" w:cstheme="minorHAnsi"/>
          <w:sz w:val="18"/>
          <w:szCs w:val="23"/>
          <w:lang w:val="es-MX"/>
        </w:rPr>
        <w:t xml:space="preserve">Fuente: Base de datos PEI </w:t>
      </w:r>
    </w:p>
    <w:p w:rsidR="000D3C1F" w:rsidRDefault="000D3C1F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685092" w:rsidRDefault="002B12AD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 xml:space="preserve">Como se puede observar en el cuadro 3 el objetivo PCO-01 </w:t>
      </w:r>
      <w:r w:rsidR="00AE0D53">
        <w:rPr>
          <w:rFonts w:asciiTheme="minorHAnsi" w:hAnsiTheme="minorHAnsi" w:cstheme="minorHAnsi"/>
          <w:sz w:val="23"/>
          <w:szCs w:val="23"/>
          <w:lang w:val="es-MX"/>
        </w:rPr>
        <w:t>“</w:t>
      </w:r>
      <w:r w:rsidR="00AE0D53" w:rsidRPr="001D2B07">
        <w:rPr>
          <w:rFonts w:asciiTheme="minorHAnsi" w:hAnsiTheme="minorHAnsi" w:cstheme="minorHAnsi"/>
          <w:i/>
          <w:sz w:val="23"/>
          <w:szCs w:val="23"/>
          <w:lang w:val="es-MX"/>
        </w:rPr>
        <w:t>Contar con personal de alto desempeño”</w:t>
      </w:r>
      <w:r w:rsidR="00AE0D53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>
        <w:rPr>
          <w:rFonts w:asciiTheme="minorHAnsi" w:hAnsiTheme="minorHAnsi" w:cstheme="minorHAnsi"/>
          <w:sz w:val="23"/>
          <w:szCs w:val="23"/>
          <w:lang w:val="es-MX"/>
        </w:rPr>
        <w:t>obtuvo una calificación del 0%, debido a que durante el II semestre 2016</w:t>
      </w:r>
      <w:r w:rsidR="00D179B5">
        <w:rPr>
          <w:rFonts w:asciiTheme="minorHAnsi" w:hAnsiTheme="minorHAnsi" w:cstheme="minorHAnsi"/>
          <w:sz w:val="23"/>
          <w:szCs w:val="23"/>
          <w:lang w:val="es-MX"/>
        </w:rPr>
        <w:t>, tal y como está planificado,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no se </w:t>
      </w:r>
      <w:r w:rsidR="00BD2B6C">
        <w:rPr>
          <w:rFonts w:asciiTheme="minorHAnsi" w:hAnsiTheme="minorHAnsi" w:cstheme="minorHAnsi"/>
          <w:sz w:val="23"/>
          <w:szCs w:val="23"/>
          <w:lang w:val="es-MX"/>
        </w:rPr>
        <w:t>cumplieron con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las acciones estratégicas establecidas para poder ejecutar la evaluación de desempeño con la metodología </w:t>
      </w:r>
      <w:r w:rsidR="000D2833">
        <w:rPr>
          <w:rFonts w:asciiTheme="minorHAnsi" w:hAnsiTheme="minorHAnsi" w:cstheme="minorHAnsi"/>
          <w:sz w:val="23"/>
          <w:szCs w:val="23"/>
          <w:lang w:val="es-MX"/>
        </w:rPr>
        <w:t>requerida;</w:t>
      </w:r>
      <w:r w:rsidR="00BD2B6C">
        <w:rPr>
          <w:rFonts w:asciiTheme="minorHAnsi" w:hAnsiTheme="minorHAnsi" w:cstheme="minorHAnsi"/>
          <w:sz w:val="23"/>
          <w:szCs w:val="23"/>
          <w:lang w:val="es-MX"/>
        </w:rPr>
        <w:t xml:space="preserve">  </w:t>
      </w:r>
      <w:r w:rsidR="000D2833">
        <w:rPr>
          <w:rFonts w:asciiTheme="minorHAnsi" w:hAnsiTheme="minorHAnsi" w:cstheme="minorHAnsi"/>
          <w:sz w:val="23"/>
          <w:szCs w:val="23"/>
          <w:lang w:val="es-MX"/>
        </w:rPr>
        <w:t>l</w:t>
      </w:r>
      <w:r w:rsidR="00BD2B6C">
        <w:rPr>
          <w:rFonts w:asciiTheme="minorHAnsi" w:hAnsiTheme="minorHAnsi" w:cstheme="minorHAnsi"/>
          <w:sz w:val="23"/>
          <w:szCs w:val="23"/>
          <w:lang w:val="es-MX"/>
        </w:rPr>
        <w:t xml:space="preserve">as cuales eran aprobar dicha metodología por la Gerencia General y Junta Directiva, realizar un plan de inducción a los funcionarios activos y jefaturas, implementar la evaluación en el primer mes del periodo 2017. Sin embargo, las fechas se fueron reprogramando sin cumplirse; por lo que </w:t>
      </w:r>
      <w:r w:rsidR="00DD12C8">
        <w:rPr>
          <w:rFonts w:asciiTheme="minorHAnsi" w:hAnsiTheme="minorHAnsi" w:cstheme="minorHAnsi"/>
          <w:sz w:val="23"/>
          <w:szCs w:val="23"/>
          <w:lang w:val="es-MX"/>
        </w:rPr>
        <w:t>al final el cumplimiento del o</w:t>
      </w:r>
      <w:r w:rsidR="00BD2B6C">
        <w:rPr>
          <w:rFonts w:asciiTheme="minorHAnsi" w:hAnsiTheme="minorHAnsi" w:cstheme="minorHAnsi"/>
          <w:sz w:val="23"/>
          <w:szCs w:val="23"/>
          <w:lang w:val="es-MX"/>
        </w:rPr>
        <w:t xml:space="preserve">bjetivo se ve afectado. </w:t>
      </w:r>
      <w:r w:rsidR="00405990">
        <w:rPr>
          <w:rFonts w:asciiTheme="minorHAnsi" w:hAnsiTheme="minorHAnsi" w:cstheme="minorHAnsi"/>
          <w:sz w:val="23"/>
          <w:szCs w:val="23"/>
          <w:lang w:val="es-MX"/>
        </w:rPr>
        <w:t>Como acción de mejora, l</w:t>
      </w:r>
      <w:r w:rsidR="00405990" w:rsidRPr="00405990">
        <w:rPr>
          <w:rFonts w:asciiTheme="minorHAnsi" w:hAnsiTheme="minorHAnsi" w:cstheme="minorHAnsi"/>
          <w:sz w:val="23"/>
          <w:szCs w:val="23"/>
          <w:lang w:val="es-MX"/>
        </w:rPr>
        <w:t>a Dirección Administrativa reprogram</w:t>
      </w:r>
      <w:r w:rsidR="0016543E">
        <w:rPr>
          <w:rFonts w:asciiTheme="minorHAnsi" w:hAnsiTheme="minorHAnsi" w:cstheme="minorHAnsi"/>
          <w:sz w:val="23"/>
          <w:szCs w:val="23"/>
          <w:lang w:val="es-MX"/>
        </w:rPr>
        <w:t>ó</w:t>
      </w:r>
      <w:r w:rsidR="00405990" w:rsidRPr="00405990">
        <w:rPr>
          <w:rFonts w:asciiTheme="minorHAnsi" w:hAnsiTheme="minorHAnsi" w:cstheme="minorHAnsi"/>
          <w:sz w:val="23"/>
          <w:szCs w:val="23"/>
          <w:lang w:val="es-MX"/>
        </w:rPr>
        <w:t xml:space="preserve"> el cumplimiento de estas acciones para el I trimestre 2017, realizar la inducción II trimes</w:t>
      </w:r>
      <w:r w:rsidR="00DD12C8">
        <w:rPr>
          <w:rFonts w:asciiTheme="minorHAnsi" w:hAnsiTheme="minorHAnsi" w:cstheme="minorHAnsi"/>
          <w:sz w:val="23"/>
          <w:szCs w:val="23"/>
          <w:lang w:val="es-MX"/>
        </w:rPr>
        <w:t>tre y aplicar la evaluación en j</w:t>
      </w:r>
      <w:r w:rsidR="00405990" w:rsidRPr="00405990">
        <w:rPr>
          <w:rFonts w:asciiTheme="minorHAnsi" w:hAnsiTheme="minorHAnsi" w:cstheme="minorHAnsi"/>
          <w:sz w:val="23"/>
          <w:szCs w:val="23"/>
          <w:lang w:val="es-MX"/>
        </w:rPr>
        <w:t>ulio cuando se debe evaluar al personal correspondiente al I semestre 2017.</w:t>
      </w:r>
    </w:p>
    <w:p w:rsidR="00CF744D" w:rsidRDefault="00BD2B6C" w:rsidP="00270CB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lastRenderedPageBreak/>
        <w:t xml:space="preserve">En cuanto </w:t>
      </w:r>
      <w:r w:rsidR="00AE0D53">
        <w:rPr>
          <w:rFonts w:asciiTheme="minorHAnsi" w:hAnsiTheme="minorHAnsi" w:cstheme="minorHAnsi"/>
          <w:sz w:val="23"/>
          <w:szCs w:val="23"/>
          <w:lang w:val="es-MX"/>
        </w:rPr>
        <w:t>a los otros 2 Objetivos relacionados con los servicio</w:t>
      </w:r>
      <w:r w:rsidR="002F70D1">
        <w:rPr>
          <w:rFonts w:asciiTheme="minorHAnsi" w:hAnsiTheme="minorHAnsi" w:cstheme="minorHAnsi"/>
          <w:sz w:val="23"/>
          <w:szCs w:val="23"/>
          <w:lang w:val="es-MX"/>
        </w:rPr>
        <w:t xml:space="preserve">s de Tecnologías de Información </w:t>
      </w:r>
      <w:r w:rsidR="00AE0D53">
        <w:rPr>
          <w:rFonts w:asciiTheme="minorHAnsi" w:hAnsiTheme="minorHAnsi" w:cstheme="minorHAnsi"/>
          <w:sz w:val="23"/>
          <w:szCs w:val="23"/>
          <w:lang w:val="es-MX"/>
        </w:rPr>
        <w:t xml:space="preserve">se detalla: </w:t>
      </w:r>
    </w:p>
    <w:p w:rsidR="00CF744D" w:rsidRDefault="00CF744D" w:rsidP="00270CB6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527AD7" w:rsidRDefault="00AE0D53" w:rsidP="000F52AC">
      <w:pPr>
        <w:pStyle w:val="Prrafodelista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 w:rsidRPr="00CF744D">
        <w:rPr>
          <w:rFonts w:asciiTheme="minorHAnsi" w:hAnsiTheme="minorHAnsi" w:cstheme="minorHAnsi"/>
          <w:sz w:val="23"/>
          <w:szCs w:val="23"/>
          <w:lang w:val="es-MX"/>
        </w:rPr>
        <w:t xml:space="preserve">PCO-02 </w:t>
      </w:r>
      <w:r w:rsidRPr="00CF744D">
        <w:rPr>
          <w:rFonts w:asciiTheme="minorHAnsi" w:hAnsiTheme="minorHAnsi" w:cstheme="minorHAnsi"/>
          <w:i/>
          <w:sz w:val="23"/>
          <w:szCs w:val="23"/>
          <w:lang w:val="es-MX"/>
        </w:rPr>
        <w:t>“Mejorar la plataforma de TI de acuerdo a las necesidades del negocio</w:t>
      </w:r>
      <w:r w:rsidRPr="00CF744D">
        <w:rPr>
          <w:rFonts w:asciiTheme="minorHAnsi" w:hAnsiTheme="minorHAnsi" w:cstheme="minorHAnsi"/>
          <w:sz w:val="23"/>
          <w:szCs w:val="23"/>
          <w:lang w:val="es-MX"/>
        </w:rPr>
        <w:t>” sobrepas</w:t>
      </w:r>
      <w:r w:rsidR="00C06514">
        <w:rPr>
          <w:rFonts w:asciiTheme="minorHAnsi" w:hAnsiTheme="minorHAnsi" w:cstheme="minorHAnsi"/>
          <w:sz w:val="23"/>
          <w:szCs w:val="23"/>
          <w:lang w:val="es-MX"/>
        </w:rPr>
        <w:t>ó</w:t>
      </w:r>
      <w:r w:rsidRPr="00CF744D">
        <w:rPr>
          <w:rFonts w:asciiTheme="minorHAnsi" w:hAnsiTheme="minorHAnsi" w:cstheme="minorHAnsi"/>
          <w:sz w:val="23"/>
          <w:szCs w:val="23"/>
          <w:lang w:val="es-MX"/>
        </w:rPr>
        <w:t xml:space="preserve"> la meta programa</w:t>
      </w:r>
      <w:r w:rsidR="00DD12C8">
        <w:rPr>
          <w:rFonts w:asciiTheme="minorHAnsi" w:hAnsiTheme="minorHAnsi" w:cstheme="minorHAnsi"/>
          <w:sz w:val="23"/>
          <w:szCs w:val="23"/>
          <w:lang w:val="es-MX"/>
        </w:rPr>
        <w:t>da</w:t>
      </w:r>
      <w:r w:rsidRPr="00CF744D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DD12C8">
        <w:rPr>
          <w:rFonts w:asciiTheme="minorHAnsi" w:hAnsiTheme="minorHAnsi" w:cstheme="minorHAnsi"/>
          <w:sz w:val="23"/>
          <w:szCs w:val="23"/>
          <w:lang w:val="es-MX"/>
        </w:rPr>
        <w:t>de 75%</w:t>
      </w:r>
      <w:r w:rsidR="00405990" w:rsidRPr="00CF744D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A93587" w:rsidRPr="00CF744D">
        <w:rPr>
          <w:rFonts w:asciiTheme="minorHAnsi" w:hAnsiTheme="minorHAnsi" w:cstheme="minorHAnsi"/>
          <w:sz w:val="23"/>
          <w:szCs w:val="23"/>
          <w:lang w:val="es-MX"/>
        </w:rPr>
        <w:t>en un 77%</w:t>
      </w:r>
      <w:r w:rsidR="00DD12C8">
        <w:rPr>
          <w:rFonts w:asciiTheme="minorHAnsi" w:hAnsiTheme="minorHAnsi" w:cstheme="minorHAnsi"/>
          <w:sz w:val="23"/>
          <w:szCs w:val="23"/>
          <w:lang w:val="es-MX"/>
        </w:rPr>
        <w:t>. S</w:t>
      </w:r>
      <w:r w:rsidR="0055451D">
        <w:rPr>
          <w:rFonts w:asciiTheme="minorHAnsi" w:hAnsiTheme="minorHAnsi" w:cstheme="minorHAnsi"/>
          <w:sz w:val="23"/>
          <w:szCs w:val="23"/>
          <w:lang w:val="es-MX"/>
        </w:rPr>
        <w:t>e realizaron dos encuestas para los funcionarios activos del Banco</w:t>
      </w:r>
      <w:r w:rsidR="00CB716B">
        <w:rPr>
          <w:rFonts w:asciiTheme="minorHAnsi" w:hAnsiTheme="minorHAnsi" w:cstheme="minorHAnsi"/>
          <w:sz w:val="23"/>
          <w:szCs w:val="23"/>
          <w:lang w:val="es-MX"/>
        </w:rPr>
        <w:t xml:space="preserve"> (calificación 79%)</w:t>
      </w:r>
      <w:r w:rsidR="0055451D">
        <w:rPr>
          <w:rFonts w:asciiTheme="minorHAnsi" w:hAnsiTheme="minorHAnsi" w:cstheme="minorHAnsi"/>
          <w:sz w:val="23"/>
          <w:szCs w:val="23"/>
          <w:lang w:val="es-MX"/>
        </w:rPr>
        <w:t xml:space="preserve"> y funcionarios de Entidades Autorizadas que usan los sistemas de información </w:t>
      </w:r>
      <w:r w:rsidR="00CB716B">
        <w:rPr>
          <w:rFonts w:asciiTheme="minorHAnsi" w:hAnsiTheme="minorHAnsi" w:cstheme="minorHAnsi"/>
          <w:sz w:val="23"/>
          <w:szCs w:val="23"/>
          <w:lang w:val="es-MX"/>
        </w:rPr>
        <w:t xml:space="preserve">del Banco (calificación 63%). </w:t>
      </w:r>
      <w:r w:rsidR="002E18AE">
        <w:rPr>
          <w:rFonts w:asciiTheme="minorHAnsi" w:hAnsiTheme="minorHAnsi" w:cstheme="minorHAnsi"/>
          <w:sz w:val="23"/>
          <w:szCs w:val="23"/>
          <w:lang w:val="es-MX"/>
        </w:rPr>
        <w:t xml:space="preserve">Se aprobó un plan de acción por la Gerencia General para ser aplicable durante el periodo vigente. </w:t>
      </w:r>
    </w:p>
    <w:p w:rsidR="000F52AC" w:rsidRDefault="000F52AC" w:rsidP="000F52AC">
      <w:pPr>
        <w:pStyle w:val="Prrafodelista"/>
        <w:spacing w:line="360" w:lineRule="auto"/>
        <w:ind w:left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527AD7" w:rsidRDefault="00EC1891" w:rsidP="00CF744D">
      <w:pPr>
        <w:pStyle w:val="Prrafodelista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 xml:space="preserve">PCO-03 </w:t>
      </w:r>
      <w:r w:rsidRPr="00FE1115">
        <w:rPr>
          <w:rFonts w:asciiTheme="minorHAnsi" w:hAnsiTheme="minorHAnsi" w:cstheme="minorHAnsi"/>
          <w:i/>
          <w:sz w:val="23"/>
          <w:szCs w:val="23"/>
          <w:lang w:val="es-MX"/>
        </w:rPr>
        <w:t>“Implementar los proyectos de TI satisfactoriamente”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FE1115">
        <w:rPr>
          <w:rFonts w:asciiTheme="minorHAnsi" w:hAnsiTheme="minorHAnsi" w:cstheme="minorHAnsi"/>
          <w:sz w:val="23"/>
          <w:szCs w:val="23"/>
          <w:lang w:val="es-MX"/>
        </w:rPr>
        <w:t>ig</w:t>
      </w:r>
      <w:r w:rsidR="002A0A6B">
        <w:rPr>
          <w:rFonts w:asciiTheme="minorHAnsi" w:hAnsiTheme="minorHAnsi" w:cstheme="minorHAnsi"/>
          <w:sz w:val="23"/>
          <w:szCs w:val="23"/>
          <w:lang w:val="es-MX"/>
        </w:rPr>
        <w:t>ual que el objetivo anterior,</w:t>
      </w:r>
      <w:r w:rsidR="00FE1115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C06514">
        <w:rPr>
          <w:rFonts w:asciiTheme="minorHAnsi" w:hAnsiTheme="minorHAnsi" w:cstheme="minorHAnsi"/>
          <w:sz w:val="23"/>
          <w:szCs w:val="23"/>
          <w:lang w:val="es-MX"/>
        </w:rPr>
        <w:t>sobrepasó</w:t>
      </w:r>
      <w:r w:rsidR="00FE1115">
        <w:rPr>
          <w:rFonts w:asciiTheme="minorHAnsi" w:hAnsiTheme="minorHAnsi" w:cstheme="minorHAnsi"/>
          <w:sz w:val="23"/>
          <w:szCs w:val="23"/>
          <w:lang w:val="es-MX"/>
        </w:rPr>
        <w:t xml:space="preserve"> la meta programa</w:t>
      </w:r>
      <w:r w:rsidR="002A0A6B">
        <w:rPr>
          <w:rFonts w:asciiTheme="minorHAnsi" w:hAnsiTheme="minorHAnsi" w:cstheme="minorHAnsi"/>
          <w:sz w:val="23"/>
          <w:szCs w:val="23"/>
          <w:lang w:val="es-MX"/>
        </w:rPr>
        <w:t>da de 20%</w:t>
      </w:r>
      <w:r w:rsidR="00FE1115">
        <w:rPr>
          <w:rFonts w:asciiTheme="minorHAnsi" w:hAnsiTheme="minorHAnsi" w:cstheme="minorHAnsi"/>
          <w:sz w:val="23"/>
          <w:szCs w:val="23"/>
          <w:lang w:val="es-MX"/>
        </w:rPr>
        <w:t xml:space="preserve"> en un 33%. Los proyectos finalizados y puestos en producción son: </w:t>
      </w:r>
    </w:p>
    <w:p w:rsidR="00FE1115" w:rsidRPr="00FE1115" w:rsidRDefault="00FE1115" w:rsidP="00FE1115">
      <w:pPr>
        <w:pStyle w:val="Prrafodelista"/>
        <w:rPr>
          <w:rFonts w:asciiTheme="minorHAnsi" w:hAnsiTheme="minorHAnsi" w:cstheme="minorHAnsi"/>
          <w:sz w:val="23"/>
          <w:szCs w:val="23"/>
          <w:lang w:val="es-MX"/>
        </w:rPr>
      </w:pPr>
    </w:p>
    <w:p w:rsidR="00FE1115" w:rsidRDefault="00FE1115" w:rsidP="00DB5A46">
      <w:pPr>
        <w:pStyle w:val="Prrafodelista"/>
        <w:numPr>
          <w:ilvl w:val="1"/>
          <w:numId w:val="12"/>
        </w:numPr>
        <w:spacing w:line="360" w:lineRule="auto"/>
        <w:ind w:left="709" w:hanging="283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PROY-08: Proyecto de Cumplimiento acuerdo SUGEF 14-09</w:t>
      </w:r>
      <w:r w:rsidR="00647125">
        <w:rPr>
          <w:rFonts w:asciiTheme="minorHAnsi" w:hAnsiTheme="minorHAnsi" w:cstheme="minorHAnsi"/>
          <w:sz w:val="23"/>
          <w:szCs w:val="23"/>
          <w:lang w:val="es-MX"/>
        </w:rPr>
        <w:t>,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responsable: Gerencia General. </w:t>
      </w:r>
    </w:p>
    <w:p w:rsidR="00FE1115" w:rsidRDefault="00FE1115" w:rsidP="00DB5A46">
      <w:pPr>
        <w:pStyle w:val="Prrafodelista"/>
        <w:numPr>
          <w:ilvl w:val="1"/>
          <w:numId w:val="12"/>
        </w:numPr>
        <w:spacing w:line="360" w:lineRule="auto"/>
        <w:ind w:left="709" w:hanging="283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 xml:space="preserve">PROY-19: Digitalización de los expedientes del Archivo del primer piso, responsable: Dirección Administrativa </w:t>
      </w:r>
    </w:p>
    <w:p w:rsidR="00FE1115" w:rsidRDefault="00FE1115" w:rsidP="00DB5A46">
      <w:pPr>
        <w:pStyle w:val="Prrafodelista"/>
        <w:numPr>
          <w:ilvl w:val="1"/>
          <w:numId w:val="12"/>
        </w:numPr>
        <w:spacing w:line="360" w:lineRule="auto"/>
        <w:ind w:left="709" w:hanging="283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 xml:space="preserve">PROY-24: Actualización de la Central Telefónica, responsable: Depto. Tecnologías de Información. </w:t>
      </w:r>
    </w:p>
    <w:p w:rsidR="00DB5A46" w:rsidRDefault="00DB5A46" w:rsidP="009303A5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E27757" w:rsidRPr="00506CF3" w:rsidRDefault="00751215" w:rsidP="00E27757">
      <w:pPr>
        <w:pStyle w:val="Textoindependiente"/>
        <w:numPr>
          <w:ilvl w:val="1"/>
          <w:numId w:val="1"/>
        </w:numPr>
        <w:rPr>
          <w:rFonts w:asciiTheme="minorHAnsi" w:hAnsiTheme="minorHAnsi" w:cstheme="minorHAnsi"/>
          <w:b/>
          <w:smallCaps/>
          <w:sz w:val="26"/>
          <w:szCs w:val="26"/>
          <w:lang w:val="es-CR"/>
        </w:rPr>
      </w:pPr>
      <w:r>
        <w:rPr>
          <w:rFonts w:asciiTheme="minorHAnsi" w:hAnsiTheme="minorHAnsi" w:cstheme="minorHAnsi"/>
          <w:b/>
          <w:smallCaps/>
          <w:sz w:val="26"/>
          <w:szCs w:val="26"/>
          <w:lang w:val="es-CR"/>
        </w:rPr>
        <w:t xml:space="preserve"> </w:t>
      </w:r>
      <w:r w:rsidR="00E27757">
        <w:rPr>
          <w:rFonts w:asciiTheme="minorHAnsi" w:hAnsiTheme="minorHAnsi" w:cstheme="minorHAnsi"/>
          <w:b/>
          <w:smallCaps/>
          <w:sz w:val="26"/>
          <w:szCs w:val="26"/>
          <w:lang w:val="es-CR"/>
        </w:rPr>
        <w:t>Perspectiva Procesos Internos</w:t>
      </w:r>
    </w:p>
    <w:p w:rsidR="00E27757" w:rsidRPr="002D005F" w:rsidRDefault="00E27757" w:rsidP="00E27757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 w:rsidRPr="002D005F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</w:p>
    <w:p w:rsidR="00E27757" w:rsidRDefault="00E27757" w:rsidP="00E27757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L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>a calificaci</w:t>
      </w:r>
      <w:r>
        <w:rPr>
          <w:rFonts w:asciiTheme="minorHAnsi" w:hAnsiTheme="minorHAnsi" w:cstheme="minorHAnsi"/>
          <w:sz w:val="23"/>
          <w:szCs w:val="23"/>
          <w:lang w:val="es-MX"/>
        </w:rPr>
        <w:t>ón obtenida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 de esta 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perspectiva 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fue de un </w:t>
      </w:r>
      <w:r>
        <w:rPr>
          <w:rFonts w:asciiTheme="minorHAnsi" w:hAnsiTheme="minorHAnsi" w:cstheme="minorHAnsi"/>
          <w:sz w:val="23"/>
          <w:szCs w:val="23"/>
          <w:lang w:val="es-MX"/>
        </w:rPr>
        <w:t>7</w:t>
      </w:r>
      <w:r w:rsidR="00F401D2">
        <w:rPr>
          <w:rFonts w:asciiTheme="minorHAnsi" w:hAnsiTheme="minorHAnsi" w:cstheme="minorHAnsi"/>
          <w:sz w:val="23"/>
          <w:szCs w:val="23"/>
          <w:lang w:val="es-MX"/>
        </w:rPr>
        <w:t>1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%, 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el cual está 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conformado por </w:t>
      </w:r>
      <w:r>
        <w:rPr>
          <w:rFonts w:asciiTheme="minorHAnsi" w:hAnsiTheme="minorHAnsi" w:cstheme="minorHAnsi"/>
          <w:sz w:val="23"/>
          <w:szCs w:val="23"/>
          <w:lang w:val="es-MX"/>
        </w:rPr>
        <w:t>10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 objetivos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de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 los cuales su </w:t>
      </w:r>
      <w:r>
        <w:rPr>
          <w:rFonts w:asciiTheme="minorHAnsi" w:hAnsiTheme="minorHAnsi" w:cstheme="minorHAnsi"/>
          <w:sz w:val="23"/>
          <w:szCs w:val="23"/>
          <w:lang w:val="es-MX"/>
        </w:rPr>
        <w:t>cumplimiento</w:t>
      </w:r>
      <w:r w:rsidR="00D179B5">
        <w:rPr>
          <w:rFonts w:asciiTheme="minorHAnsi" w:hAnsiTheme="minorHAnsi" w:cstheme="minorHAnsi"/>
          <w:sz w:val="23"/>
          <w:szCs w:val="23"/>
          <w:lang w:val="es-MX"/>
        </w:rPr>
        <w:t xml:space="preserve"> se presenta en el siguiente cuadro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: </w:t>
      </w:r>
    </w:p>
    <w:p w:rsidR="00751215" w:rsidRDefault="00751215" w:rsidP="00E27757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F401D2" w:rsidRDefault="00F401D2" w:rsidP="00E27757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671763" w:rsidRDefault="00671763" w:rsidP="00E27757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671763" w:rsidRDefault="00671763" w:rsidP="00E27757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671763" w:rsidRDefault="00671763" w:rsidP="00E27757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F401D2" w:rsidRDefault="00F401D2" w:rsidP="00E27757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232004" w:rsidRPr="00EA0B84" w:rsidRDefault="00232004" w:rsidP="00232004">
      <w:pPr>
        <w:jc w:val="center"/>
        <w:rPr>
          <w:rFonts w:asciiTheme="minorHAnsi" w:hAnsiTheme="minorHAnsi" w:cstheme="minorHAnsi"/>
          <w:b/>
          <w:smallCaps/>
          <w:sz w:val="22"/>
          <w:szCs w:val="23"/>
          <w:lang w:val="es-MX"/>
        </w:rPr>
      </w:pPr>
      <w:r>
        <w:rPr>
          <w:rFonts w:asciiTheme="minorHAnsi" w:hAnsiTheme="minorHAnsi" w:cstheme="minorHAnsi"/>
          <w:b/>
          <w:smallCaps/>
          <w:sz w:val="22"/>
          <w:szCs w:val="23"/>
          <w:lang w:val="es-MX"/>
        </w:rPr>
        <w:lastRenderedPageBreak/>
        <w:t>Cuadro 4</w:t>
      </w:r>
    </w:p>
    <w:p w:rsidR="00232004" w:rsidRDefault="00232004" w:rsidP="00232004">
      <w:pPr>
        <w:jc w:val="center"/>
        <w:rPr>
          <w:rFonts w:asciiTheme="minorHAnsi" w:hAnsiTheme="minorHAnsi" w:cstheme="minorHAnsi"/>
          <w:b/>
          <w:smallCaps/>
          <w:sz w:val="22"/>
          <w:szCs w:val="23"/>
          <w:lang w:val="es-MX"/>
        </w:rPr>
      </w:pPr>
      <w:r w:rsidRPr="00EA0B84">
        <w:rPr>
          <w:rFonts w:asciiTheme="minorHAnsi" w:hAnsiTheme="minorHAnsi" w:cstheme="minorHAnsi"/>
          <w:b/>
          <w:smallCaps/>
          <w:sz w:val="22"/>
          <w:szCs w:val="23"/>
          <w:lang w:val="es-MX"/>
        </w:rPr>
        <w:t>Composición de la Perspectiva</w:t>
      </w:r>
    </w:p>
    <w:tbl>
      <w:tblPr>
        <w:tblStyle w:val="Tablaconcuadrcula"/>
        <w:tblW w:w="10666" w:type="dxa"/>
        <w:jc w:val="center"/>
        <w:tblInd w:w="-159" w:type="dxa"/>
        <w:tblLook w:val="04A0" w:firstRow="1" w:lastRow="0" w:firstColumn="1" w:lastColumn="0" w:noHBand="0" w:noVBand="1"/>
      </w:tblPr>
      <w:tblGrid>
        <w:gridCol w:w="769"/>
        <w:gridCol w:w="2505"/>
        <w:gridCol w:w="2317"/>
        <w:gridCol w:w="1206"/>
        <w:gridCol w:w="1162"/>
        <w:gridCol w:w="1285"/>
        <w:gridCol w:w="1422"/>
      </w:tblGrid>
      <w:tr w:rsidR="00996A72" w:rsidRPr="00996A72" w:rsidTr="00751215">
        <w:trPr>
          <w:trHeight w:val="421"/>
          <w:tblHeader/>
          <w:jc w:val="center"/>
        </w:trPr>
        <w:tc>
          <w:tcPr>
            <w:tcW w:w="3274" w:type="dxa"/>
            <w:gridSpan w:val="2"/>
            <w:vMerge w:val="restart"/>
            <w:shd w:val="clear" w:color="auto" w:fill="DBE5F1" w:themeFill="accent1" w:themeFillTint="33"/>
            <w:vAlign w:val="center"/>
            <w:hideMark/>
          </w:tcPr>
          <w:p w:rsidR="00232004" w:rsidRPr="00996A72" w:rsidRDefault="00232004" w:rsidP="00996A72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96A7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</w:t>
            </w:r>
            <w:r w:rsidR="00996A72" w:rsidRPr="00996A7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bjetivo</w:t>
            </w:r>
            <w:r w:rsidRPr="00996A7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E</w:t>
            </w:r>
            <w:r w:rsidR="00996A72" w:rsidRPr="00996A7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stratégico</w:t>
            </w:r>
          </w:p>
        </w:tc>
        <w:tc>
          <w:tcPr>
            <w:tcW w:w="2317" w:type="dxa"/>
            <w:vMerge w:val="restart"/>
            <w:shd w:val="clear" w:color="auto" w:fill="DBE5F1" w:themeFill="accent1" w:themeFillTint="33"/>
            <w:vAlign w:val="center"/>
            <w:hideMark/>
          </w:tcPr>
          <w:p w:rsidR="00232004" w:rsidRPr="00996A72" w:rsidRDefault="00232004" w:rsidP="00996A72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96A7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Indicador</w:t>
            </w:r>
          </w:p>
        </w:tc>
        <w:tc>
          <w:tcPr>
            <w:tcW w:w="1206" w:type="dxa"/>
            <w:vMerge w:val="restart"/>
            <w:shd w:val="clear" w:color="auto" w:fill="DBE5F1" w:themeFill="accent1" w:themeFillTint="33"/>
            <w:vAlign w:val="center"/>
            <w:hideMark/>
          </w:tcPr>
          <w:p w:rsidR="00232004" w:rsidRPr="00996A72" w:rsidRDefault="00232004" w:rsidP="00996A72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96A7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Meta 2016</w:t>
            </w:r>
          </w:p>
        </w:tc>
        <w:tc>
          <w:tcPr>
            <w:tcW w:w="1162" w:type="dxa"/>
            <w:vMerge w:val="restart"/>
            <w:shd w:val="clear" w:color="auto" w:fill="DBE5F1" w:themeFill="accent1" w:themeFillTint="33"/>
            <w:vAlign w:val="center"/>
            <w:hideMark/>
          </w:tcPr>
          <w:p w:rsidR="00232004" w:rsidRPr="00996A72" w:rsidRDefault="00232004" w:rsidP="00996A72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96A7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Resultado</w:t>
            </w:r>
          </w:p>
        </w:tc>
        <w:tc>
          <w:tcPr>
            <w:tcW w:w="1285" w:type="dxa"/>
            <w:vMerge w:val="restart"/>
            <w:shd w:val="clear" w:color="auto" w:fill="DBE5F1" w:themeFill="accent1" w:themeFillTint="33"/>
            <w:vAlign w:val="center"/>
            <w:hideMark/>
          </w:tcPr>
          <w:p w:rsidR="00232004" w:rsidRPr="00996A72" w:rsidRDefault="00232004" w:rsidP="00996A72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96A7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Puntuación</w:t>
            </w:r>
          </w:p>
        </w:tc>
        <w:tc>
          <w:tcPr>
            <w:tcW w:w="1422" w:type="dxa"/>
            <w:vMerge w:val="restart"/>
            <w:shd w:val="clear" w:color="auto" w:fill="DBE5F1" w:themeFill="accent1" w:themeFillTint="33"/>
            <w:vAlign w:val="center"/>
            <w:hideMark/>
          </w:tcPr>
          <w:p w:rsidR="00232004" w:rsidRPr="00996A72" w:rsidRDefault="00232004" w:rsidP="00996A72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96A7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Ponderación de OE</w:t>
            </w:r>
          </w:p>
        </w:tc>
      </w:tr>
      <w:tr w:rsidR="00996A72" w:rsidRPr="00996A72" w:rsidTr="00751215">
        <w:trPr>
          <w:trHeight w:val="421"/>
          <w:tblHeader/>
          <w:jc w:val="center"/>
        </w:trPr>
        <w:tc>
          <w:tcPr>
            <w:tcW w:w="3274" w:type="dxa"/>
            <w:gridSpan w:val="2"/>
            <w:vMerge/>
            <w:shd w:val="clear" w:color="auto" w:fill="DBE5F1" w:themeFill="accent1" w:themeFillTint="33"/>
            <w:hideMark/>
          </w:tcPr>
          <w:p w:rsidR="00232004" w:rsidRPr="00996A72" w:rsidRDefault="00232004" w:rsidP="0023200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317" w:type="dxa"/>
            <w:vMerge/>
            <w:shd w:val="clear" w:color="auto" w:fill="DBE5F1" w:themeFill="accent1" w:themeFillTint="33"/>
            <w:hideMark/>
          </w:tcPr>
          <w:p w:rsidR="00232004" w:rsidRPr="00996A72" w:rsidRDefault="00232004" w:rsidP="0023200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206" w:type="dxa"/>
            <w:vMerge/>
            <w:shd w:val="clear" w:color="auto" w:fill="DBE5F1" w:themeFill="accent1" w:themeFillTint="33"/>
            <w:hideMark/>
          </w:tcPr>
          <w:p w:rsidR="00232004" w:rsidRPr="00996A72" w:rsidRDefault="00232004" w:rsidP="0023200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vMerge/>
            <w:shd w:val="clear" w:color="auto" w:fill="DBE5F1" w:themeFill="accent1" w:themeFillTint="33"/>
            <w:hideMark/>
          </w:tcPr>
          <w:p w:rsidR="00232004" w:rsidRPr="00996A72" w:rsidRDefault="00232004" w:rsidP="0023200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285" w:type="dxa"/>
            <w:vMerge/>
            <w:shd w:val="clear" w:color="auto" w:fill="DBE5F1" w:themeFill="accent1" w:themeFillTint="33"/>
            <w:hideMark/>
          </w:tcPr>
          <w:p w:rsidR="00232004" w:rsidRPr="00996A72" w:rsidRDefault="00232004" w:rsidP="0023200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422" w:type="dxa"/>
            <w:vMerge/>
            <w:shd w:val="clear" w:color="auto" w:fill="DBE5F1" w:themeFill="accent1" w:themeFillTint="33"/>
            <w:hideMark/>
          </w:tcPr>
          <w:p w:rsidR="00232004" w:rsidRPr="00996A72" w:rsidRDefault="00232004" w:rsidP="0023200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996A72" w:rsidRPr="00996A72" w:rsidTr="00751215">
        <w:trPr>
          <w:trHeight w:val="900"/>
          <w:jc w:val="center"/>
        </w:trPr>
        <w:tc>
          <w:tcPr>
            <w:tcW w:w="769" w:type="dxa"/>
            <w:hideMark/>
          </w:tcPr>
          <w:p w:rsidR="00232004" w:rsidRPr="00996A72" w:rsidRDefault="00F66CAF" w:rsidP="00996A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PI-01</w:t>
            </w:r>
          </w:p>
        </w:tc>
        <w:tc>
          <w:tcPr>
            <w:tcW w:w="2505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A72">
              <w:rPr>
                <w:rFonts w:asciiTheme="minorHAnsi" w:hAnsiTheme="minorHAnsi" w:cstheme="minorHAnsi"/>
                <w:sz w:val="20"/>
                <w:szCs w:val="20"/>
              </w:rPr>
              <w:t>Tramitar con agilidad los subsidios art. 59</w:t>
            </w:r>
          </w:p>
        </w:tc>
        <w:tc>
          <w:tcPr>
            <w:tcW w:w="2317" w:type="dxa"/>
            <w:hideMark/>
          </w:tcPr>
          <w:p w:rsidR="004B1F7F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A72">
              <w:rPr>
                <w:rFonts w:asciiTheme="minorHAnsi" w:hAnsiTheme="minorHAnsi" w:cstheme="minorHAnsi"/>
                <w:sz w:val="20"/>
                <w:szCs w:val="20"/>
              </w:rPr>
              <w:t>Porcentaje de bonos artículo 59 individual que se aprueban en el tiempo determinado</w:t>
            </w:r>
          </w:p>
        </w:tc>
        <w:tc>
          <w:tcPr>
            <w:tcW w:w="1206" w:type="dxa"/>
          </w:tcPr>
          <w:p w:rsidR="00232004" w:rsidRPr="00266E43" w:rsidRDefault="001D5834" w:rsidP="00996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80%</w:t>
            </w:r>
          </w:p>
        </w:tc>
        <w:tc>
          <w:tcPr>
            <w:tcW w:w="1162" w:type="dxa"/>
          </w:tcPr>
          <w:p w:rsidR="00232004" w:rsidRPr="00266E43" w:rsidRDefault="00266E43" w:rsidP="00996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61%</w:t>
            </w:r>
          </w:p>
        </w:tc>
        <w:tc>
          <w:tcPr>
            <w:tcW w:w="1285" w:type="dxa"/>
            <w:shd w:val="clear" w:color="auto" w:fill="FFFF00"/>
          </w:tcPr>
          <w:p w:rsidR="00232004" w:rsidRPr="001D5834" w:rsidRDefault="001D5834" w:rsidP="008F093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</w:pPr>
            <w:r w:rsidRPr="001D583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>76%</w:t>
            </w:r>
          </w:p>
        </w:tc>
        <w:tc>
          <w:tcPr>
            <w:tcW w:w="1422" w:type="dxa"/>
            <w:shd w:val="clear" w:color="auto" w:fill="FFFF00"/>
          </w:tcPr>
          <w:p w:rsidR="00232004" w:rsidRPr="001D5834" w:rsidRDefault="00565FDA" w:rsidP="00996A7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>7.6</w:t>
            </w:r>
            <w:r w:rsidR="001D5834" w:rsidRPr="001D583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>%</w:t>
            </w:r>
          </w:p>
        </w:tc>
      </w:tr>
      <w:tr w:rsidR="00996A72" w:rsidRPr="00996A72" w:rsidTr="00751215">
        <w:trPr>
          <w:trHeight w:val="1200"/>
          <w:jc w:val="center"/>
        </w:trPr>
        <w:tc>
          <w:tcPr>
            <w:tcW w:w="769" w:type="dxa"/>
            <w:hideMark/>
          </w:tcPr>
          <w:p w:rsidR="00232004" w:rsidRPr="00996A72" w:rsidRDefault="00F66CAF" w:rsidP="00996A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PI-02</w:t>
            </w:r>
          </w:p>
        </w:tc>
        <w:tc>
          <w:tcPr>
            <w:tcW w:w="2505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A72">
              <w:rPr>
                <w:rFonts w:asciiTheme="minorHAnsi" w:hAnsiTheme="minorHAnsi" w:cstheme="minorHAnsi"/>
                <w:sz w:val="20"/>
                <w:szCs w:val="20"/>
              </w:rPr>
              <w:t>Mejorar los procesos internos para cumplir con los plazos establecidos en la normativa vigente en trámite de proyectos de Art.59</w:t>
            </w:r>
          </w:p>
        </w:tc>
        <w:tc>
          <w:tcPr>
            <w:tcW w:w="2317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A72">
              <w:rPr>
                <w:rFonts w:asciiTheme="minorHAnsi" w:hAnsiTheme="minorHAnsi" w:cstheme="minorHAnsi"/>
                <w:sz w:val="20"/>
                <w:szCs w:val="20"/>
              </w:rPr>
              <w:t>Porcentaje de tramitaciones comprometidas en el tiempo determinado de proyectos art. 59</w:t>
            </w:r>
          </w:p>
        </w:tc>
        <w:tc>
          <w:tcPr>
            <w:tcW w:w="1206" w:type="dxa"/>
            <w:hideMark/>
          </w:tcPr>
          <w:p w:rsidR="00232004" w:rsidRPr="00996A72" w:rsidRDefault="002D7962" w:rsidP="00996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60%</w:t>
            </w:r>
          </w:p>
        </w:tc>
        <w:tc>
          <w:tcPr>
            <w:tcW w:w="1162" w:type="dxa"/>
            <w:hideMark/>
          </w:tcPr>
          <w:p w:rsidR="00232004" w:rsidRPr="00996A72" w:rsidRDefault="001D5834" w:rsidP="00996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232004" w:rsidRPr="00996A72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285" w:type="dxa"/>
            <w:shd w:val="clear" w:color="auto" w:fill="FF0000"/>
            <w:hideMark/>
          </w:tcPr>
          <w:p w:rsidR="00232004" w:rsidRPr="005E5A78" w:rsidRDefault="002D7962" w:rsidP="008F0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58</w:t>
            </w:r>
            <w:r w:rsidR="00232004" w:rsidRPr="005E5A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%</w:t>
            </w:r>
          </w:p>
        </w:tc>
        <w:tc>
          <w:tcPr>
            <w:tcW w:w="1422" w:type="dxa"/>
            <w:shd w:val="clear" w:color="auto" w:fill="FF0000"/>
            <w:hideMark/>
          </w:tcPr>
          <w:p w:rsidR="00232004" w:rsidRPr="005E5A78" w:rsidRDefault="002D7962" w:rsidP="00996A7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6</w:t>
            </w:r>
            <w:r w:rsidR="0016529E" w:rsidRPr="005E5A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%</w:t>
            </w:r>
          </w:p>
        </w:tc>
      </w:tr>
      <w:tr w:rsidR="00996A72" w:rsidRPr="00996A72" w:rsidTr="00751215">
        <w:trPr>
          <w:trHeight w:val="1200"/>
          <w:jc w:val="center"/>
        </w:trPr>
        <w:tc>
          <w:tcPr>
            <w:tcW w:w="769" w:type="dxa"/>
            <w:hideMark/>
          </w:tcPr>
          <w:p w:rsidR="00232004" w:rsidRPr="00996A72" w:rsidRDefault="00F66CAF" w:rsidP="00996A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PI-03</w:t>
            </w:r>
          </w:p>
        </w:tc>
        <w:tc>
          <w:tcPr>
            <w:tcW w:w="2505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A72">
              <w:rPr>
                <w:rFonts w:asciiTheme="minorHAnsi" w:hAnsiTheme="minorHAnsi" w:cstheme="minorHAnsi"/>
                <w:sz w:val="20"/>
                <w:szCs w:val="20"/>
              </w:rPr>
              <w:t>Tramitar oportunamente los financiamientos</w:t>
            </w:r>
          </w:p>
        </w:tc>
        <w:tc>
          <w:tcPr>
            <w:tcW w:w="2317" w:type="dxa"/>
            <w:hideMark/>
          </w:tcPr>
          <w:p w:rsidR="004B1F7F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A72">
              <w:rPr>
                <w:rFonts w:asciiTheme="minorHAnsi" w:hAnsiTheme="minorHAnsi" w:cstheme="minorHAnsi"/>
                <w:sz w:val="20"/>
                <w:szCs w:val="20"/>
              </w:rPr>
              <w:t>Porcentaje de tramitaciones formalizadas en el tiempo determinado de colocación de créditos</w:t>
            </w:r>
          </w:p>
        </w:tc>
        <w:tc>
          <w:tcPr>
            <w:tcW w:w="1206" w:type="dxa"/>
            <w:hideMark/>
          </w:tcPr>
          <w:p w:rsidR="00232004" w:rsidRPr="00996A72" w:rsidRDefault="001D5834" w:rsidP="00996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  <w:r w:rsidR="00232004" w:rsidRPr="00996A72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162" w:type="dxa"/>
            <w:hideMark/>
          </w:tcPr>
          <w:p w:rsidR="00232004" w:rsidRPr="00996A72" w:rsidRDefault="001D5834" w:rsidP="00996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</w:t>
            </w:r>
            <w:r w:rsidR="00232004" w:rsidRPr="00996A72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285" w:type="dxa"/>
            <w:shd w:val="clear" w:color="auto" w:fill="3366FF"/>
            <w:hideMark/>
          </w:tcPr>
          <w:p w:rsidR="00232004" w:rsidRPr="005E5A78" w:rsidRDefault="00EA3396" w:rsidP="008F0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110</w:t>
            </w:r>
            <w:r w:rsidR="00232004" w:rsidRPr="005E5A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%</w:t>
            </w:r>
          </w:p>
        </w:tc>
        <w:tc>
          <w:tcPr>
            <w:tcW w:w="1422" w:type="dxa"/>
            <w:shd w:val="clear" w:color="auto" w:fill="00B050"/>
            <w:hideMark/>
          </w:tcPr>
          <w:p w:rsidR="00232004" w:rsidRPr="005E5A78" w:rsidRDefault="00232004" w:rsidP="00996A7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</w:pPr>
            <w:r w:rsidRPr="005E5A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10%</w:t>
            </w:r>
          </w:p>
        </w:tc>
      </w:tr>
      <w:tr w:rsidR="00996A72" w:rsidRPr="00996A72" w:rsidTr="00751215">
        <w:trPr>
          <w:trHeight w:val="720"/>
          <w:jc w:val="center"/>
        </w:trPr>
        <w:tc>
          <w:tcPr>
            <w:tcW w:w="769" w:type="dxa"/>
            <w:hideMark/>
          </w:tcPr>
          <w:p w:rsidR="00232004" w:rsidRPr="00996A72" w:rsidRDefault="00F66CAF" w:rsidP="00996A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PI-04</w:t>
            </w:r>
          </w:p>
        </w:tc>
        <w:tc>
          <w:tcPr>
            <w:tcW w:w="2505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A72">
              <w:rPr>
                <w:rFonts w:asciiTheme="minorHAnsi" w:hAnsiTheme="minorHAnsi" w:cstheme="minorHAnsi"/>
                <w:sz w:val="20"/>
                <w:szCs w:val="20"/>
              </w:rPr>
              <w:t xml:space="preserve">Ejecutar eficazmente los fondos destinados a bonos comunales </w:t>
            </w:r>
          </w:p>
        </w:tc>
        <w:tc>
          <w:tcPr>
            <w:tcW w:w="2317" w:type="dxa"/>
            <w:hideMark/>
          </w:tcPr>
          <w:p w:rsidR="004B1F7F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A72">
              <w:rPr>
                <w:rFonts w:asciiTheme="minorHAnsi" w:hAnsiTheme="minorHAnsi" w:cstheme="minorHAnsi"/>
                <w:sz w:val="20"/>
                <w:szCs w:val="20"/>
              </w:rPr>
              <w:t>Porcentaje de dinero comprometido en los plazos establecidos por la normativa</w:t>
            </w:r>
          </w:p>
        </w:tc>
        <w:tc>
          <w:tcPr>
            <w:tcW w:w="1206" w:type="dxa"/>
            <w:hideMark/>
          </w:tcPr>
          <w:p w:rsidR="00232004" w:rsidRPr="00996A72" w:rsidRDefault="00013D1B" w:rsidP="00996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="00232004" w:rsidRPr="00996A72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162" w:type="dxa"/>
            <w:hideMark/>
          </w:tcPr>
          <w:p w:rsidR="00232004" w:rsidRPr="00996A72" w:rsidRDefault="00DF15AE" w:rsidP="00996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0%</w:t>
            </w:r>
            <w:r w:rsidR="00232004" w:rsidRPr="00996A72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285" w:type="dxa"/>
            <w:shd w:val="clear" w:color="auto" w:fill="FF0000"/>
            <w:hideMark/>
          </w:tcPr>
          <w:p w:rsidR="00232004" w:rsidRPr="005E5A78" w:rsidRDefault="00DF15AE" w:rsidP="008F0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0%</w:t>
            </w:r>
          </w:p>
        </w:tc>
        <w:tc>
          <w:tcPr>
            <w:tcW w:w="1422" w:type="dxa"/>
            <w:shd w:val="clear" w:color="auto" w:fill="FF0000"/>
            <w:hideMark/>
          </w:tcPr>
          <w:p w:rsidR="00232004" w:rsidRPr="005E5A78" w:rsidRDefault="00DF15AE" w:rsidP="00996A7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0%</w:t>
            </w:r>
          </w:p>
        </w:tc>
      </w:tr>
      <w:tr w:rsidR="00996A72" w:rsidRPr="00996A72" w:rsidTr="00751215">
        <w:trPr>
          <w:trHeight w:val="900"/>
          <w:jc w:val="center"/>
        </w:trPr>
        <w:tc>
          <w:tcPr>
            <w:tcW w:w="769" w:type="dxa"/>
            <w:hideMark/>
          </w:tcPr>
          <w:p w:rsidR="00232004" w:rsidRPr="00996A72" w:rsidRDefault="00F66CAF" w:rsidP="00996A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PI-05</w:t>
            </w:r>
          </w:p>
        </w:tc>
        <w:tc>
          <w:tcPr>
            <w:tcW w:w="2505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A72">
              <w:rPr>
                <w:rFonts w:asciiTheme="minorHAnsi" w:hAnsiTheme="minorHAnsi" w:cstheme="minorHAnsi"/>
                <w:sz w:val="20"/>
                <w:szCs w:val="20"/>
              </w:rPr>
              <w:t>Mejorar el índice de eficiencia de las Entidades Autorizadas</w:t>
            </w:r>
          </w:p>
        </w:tc>
        <w:tc>
          <w:tcPr>
            <w:tcW w:w="2317" w:type="dxa"/>
            <w:hideMark/>
          </w:tcPr>
          <w:p w:rsidR="004B1F7F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6A72">
              <w:rPr>
                <w:rFonts w:asciiTheme="minorHAnsi" w:hAnsiTheme="minorHAnsi" w:cstheme="minorHAnsi"/>
                <w:sz w:val="20"/>
                <w:szCs w:val="20"/>
              </w:rPr>
              <w:t>Porcentaje de entidades autorizadas con índice de eficiencia superior al 75%</w:t>
            </w:r>
          </w:p>
        </w:tc>
        <w:tc>
          <w:tcPr>
            <w:tcW w:w="1206" w:type="dxa"/>
            <w:hideMark/>
          </w:tcPr>
          <w:p w:rsidR="00232004" w:rsidRPr="00996A72" w:rsidRDefault="00013D1B" w:rsidP="00996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  <w:r w:rsidR="00232004" w:rsidRPr="00996A72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162" w:type="dxa"/>
            <w:hideMark/>
          </w:tcPr>
          <w:p w:rsidR="00232004" w:rsidRPr="00996A72" w:rsidRDefault="00013D1B" w:rsidP="00996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</w:t>
            </w:r>
            <w:r w:rsidR="00232004" w:rsidRPr="00996A72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285" w:type="dxa"/>
            <w:shd w:val="clear" w:color="auto" w:fill="FFFF00"/>
            <w:hideMark/>
          </w:tcPr>
          <w:p w:rsidR="00232004" w:rsidRPr="00EA3396" w:rsidRDefault="00EA3396" w:rsidP="008F093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>71</w:t>
            </w:r>
            <w:r w:rsidR="00232004" w:rsidRPr="00EA33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>%</w:t>
            </w:r>
          </w:p>
        </w:tc>
        <w:tc>
          <w:tcPr>
            <w:tcW w:w="1422" w:type="dxa"/>
            <w:shd w:val="clear" w:color="auto" w:fill="FFFF00"/>
            <w:hideMark/>
          </w:tcPr>
          <w:p w:rsidR="00232004" w:rsidRPr="00EA3396" w:rsidRDefault="0016529E" w:rsidP="00996A7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</w:pPr>
            <w:r w:rsidRPr="00EA33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>7%</w:t>
            </w:r>
          </w:p>
        </w:tc>
      </w:tr>
      <w:tr w:rsidR="00996A72" w:rsidRPr="00996A72" w:rsidTr="00751215">
        <w:trPr>
          <w:trHeight w:val="804"/>
          <w:jc w:val="center"/>
        </w:trPr>
        <w:tc>
          <w:tcPr>
            <w:tcW w:w="769" w:type="dxa"/>
            <w:hideMark/>
          </w:tcPr>
          <w:p w:rsidR="00232004" w:rsidRPr="00996A72" w:rsidRDefault="00F66CAF" w:rsidP="00996A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3"/>
              </w:rPr>
              <w:t>PI-06</w:t>
            </w:r>
          </w:p>
        </w:tc>
        <w:tc>
          <w:tcPr>
            <w:tcW w:w="2505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3"/>
              </w:rPr>
            </w:pP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Atender oportunamente las recomendaciones de los órganos de control</w:t>
            </w:r>
          </w:p>
        </w:tc>
        <w:tc>
          <w:tcPr>
            <w:tcW w:w="2317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3"/>
              </w:rPr>
            </w:pP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Porcentaje de recomendaciones atendidas</w:t>
            </w:r>
          </w:p>
        </w:tc>
        <w:tc>
          <w:tcPr>
            <w:tcW w:w="1206" w:type="dxa"/>
            <w:hideMark/>
          </w:tcPr>
          <w:p w:rsidR="00232004" w:rsidRPr="00996A72" w:rsidRDefault="00013D1B" w:rsidP="004B1F7F">
            <w:pPr>
              <w:jc w:val="center"/>
              <w:rPr>
                <w:rFonts w:asciiTheme="minorHAnsi" w:hAnsiTheme="minorHAnsi" w:cstheme="minorHAnsi"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sz w:val="20"/>
                <w:szCs w:val="23"/>
              </w:rPr>
              <w:t>45</w:t>
            </w:r>
            <w:r w:rsidR="00232004" w:rsidRPr="00996A72">
              <w:rPr>
                <w:rFonts w:asciiTheme="minorHAnsi" w:hAnsiTheme="minorHAnsi" w:cstheme="minorHAnsi"/>
                <w:sz w:val="20"/>
                <w:szCs w:val="23"/>
              </w:rPr>
              <w:t>%</w:t>
            </w:r>
          </w:p>
        </w:tc>
        <w:tc>
          <w:tcPr>
            <w:tcW w:w="1162" w:type="dxa"/>
            <w:hideMark/>
          </w:tcPr>
          <w:p w:rsidR="00232004" w:rsidRPr="00996A72" w:rsidRDefault="00013D1B" w:rsidP="004B1F7F">
            <w:pPr>
              <w:jc w:val="center"/>
              <w:rPr>
                <w:rFonts w:asciiTheme="minorHAnsi" w:hAnsiTheme="minorHAnsi" w:cstheme="minorHAnsi"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sz w:val="20"/>
                <w:szCs w:val="23"/>
              </w:rPr>
              <w:t>61</w:t>
            </w:r>
            <w:r w:rsidR="00232004" w:rsidRPr="00996A72">
              <w:rPr>
                <w:rFonts w:asciiTheme="minorHAnsi" w:hAnsiTheme="minorHAnsi" w:cstheme="minorHAnsi"/>
                <w:sz w:val="20"/>
                <w:szCs w:val="23"/>
              </w:rPr>
              <w:t>%</w:t>
            </w:r>
          </w:p>
        </w:tc>
        <w:tc>
          <w:tcPr>
            <w:tcW w:w="1285" w:type="dxa"/>
            <w:shd w:val="clear" w:color="auto" w:fill="3366FF"/>
            <w:hideMark/>
          </w:tcPr>
          <w:p w:rsidR="00232004" w:rsidRPr="005E5A78" w:rsidRDefault="00EA3396" w:rsidP="008F0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135.56</w:t>
            </w:r>
            <w:r w:rsidR="00232004" w:rsidRPr="005E5A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%</w:t>
            </w:r>
          </w:p>
        </w:tc>
        <w:tc>
          <w:tcPr>
            <w:tcW w:w="1422" w:type="dxa"/>
            <w:shd w:val="clear" w:color="auto" w:fill="00B050"/>
            <w:hideMark/>
          </w:tcPr>
          <w:p w:rsidR="00232004" w:rsidRPr="005E5A78" w:rsidRDefault="0016529E" w:rsidP="0016529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</w:pPr>
            <w:r w:rsidRPr="005E5A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10%</w:t>
            </w:r>
          </w:p>
        </w:tc>
      </w:tr>
      <w:tr w:rsidR="00996A72" w:rsidRPr="00996A72" w:rsidTr="00751215">
        <w:trPr>
          <w:trHeight w:val="900"/>
          <w:jc w:val="center"/>
        </w:trPr>
        <w:tc>
          <w:tcPr>
            <w:tcW w:w="769" w:type="dxa"/>
            <w:hideMark/>
          </w:tcPr>
          <w:p w:rsidR="00232004" w:rsidRPr="00996A72" w:rsidRDefault="00F66CAF" w:rsidP="00996A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3"/>
              </w:rPr>
              <w:t>PI-07</w:t>
            </w:r>
          </w:p>
        </w:tc>
        <w:tc>
          <w:tcPr>
            <w:tcW w:w="2505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3"/>
              </w:rPr>
            </w:pP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Lograr un mayor aprovechamiento de bienes propiedad BANHVI</w:t>
            </w:r>
          </w:p>
        </w:tc>
        <w:tc>
          <w:tcPr>
            <w:tcW w:w="2317" w:type="dxa"/>
            <w:hideMark/>
          </w:tcPr>
          <w:p w:rsidR="004B1F7F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3"/>
              </w:rPr>
            </w:pP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Porcentaje de bienes aprovechables desarrollados y realizados</w:t>
            </w:r>
          </w:p>
        </w:tc>
        <w:tc>
          <w:tcPr>
            <w:tcW w:w="1206" w:type="dxa"/>
            <w:hideMark/>
          </w:tcPr>
          <w:p w:rsidR="00232004" w:rsidRPr="00996A72" w:rsidRDefault="00232004" w:rsidP="00B25390">
            <w:pPr>
              <w:jc w:val="center"/>
              <w:rPr>
                <w:rFonts w:asciiTheme="minorHAnsi" w:hAnsiTheme="minorHAnsi" w:cstheme="minorHAnsi"/>
                <w:sz w:val="20"/>
                <w:szCs w:val="23"/>
              </w:rPr>
            </w:pP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0.</w:t>
            </w:r>
            <w:r w:rsidR="00B25390">
              <w:rPr>
                <w:rFonts w:asciiTheme="minorHAnsi" w:hAnsiTheme="minorHAnsi" w:cstheme="minorHAnsi"/>
                <w:sz w:val="20"/>
                <w:szCs w:val="23"/>
              </w:rPr>
              <w:t>6</w:t>
            </w: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%</w:t>
            </w:r>
          </w:p>
        </w:tc>
        <w:tc>
          <w:tcPr>
            <w:tcW w:w="1162" w:type="dxa"/>
            <w:hideMark/>
          </w:tcPr>
          <w:p w:rsidR="00232004" w:rsidRPr="00996A72" w:rsidRDefault="00B25390" w:rsidP="004B1F7F">
            <w:pPr>
              <w:jc w:val="center"/>
              <w:rPr>
                <w:rFonts w:asciiTheme="minorHAnsi" w:hAnsiTheme="minorHAnsi" w:cstheme="minorHAnsi"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sz w:val="20"/>
                <w:szCs w:val="23"/>
              </w:rPr>
              <w:t>18</w:t>
            </w:r>
            <w:r w:rsidR="00232004" w:rsidRPr="00996A72">
              <w:rPr>
                <w:rFonts w:asciiTheme="minorHAnsi" w:hAnsiTheme="minorHAnsi" w:cstheme="minorHAnsi"/>
                <w:sz w:val="20"/>
                <w:szCs w:val="23"/>
              </w:rPr>
              <w:t>%</w:t>
            </w:r>
          </w:p>
        </w:tc>
        <w:tc>
          <w:tcPr>
            <w:tcW w:w="1285" w:type="dxa"/>
            <w:shd w:val="clear" w:color="auto" w:fill="3366FF"/>
            <w:hideMark/>
          </w:tcPr>
          <w:p w:rsidR="00232004" w:rsidRPr="005E5A78" w:rsidRDefault="00B25390" w:rsidP="008F0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300</w:t>
            </w:r>
            <w:r w:rsidR="00232004" w:rsidRPr="005E5A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%</w:t>
            </w:r>
          </w:p>
        </w:tc>
        <w:tc>
          <w:tcPr>
            <w:tcW w:w="1422" w:type="dxa"/>
            <w:shd w:val="clear" w:color="auto" w:fill="00B050"/>
            <w:hideMark/>
          </w:tcPr>
          <w:p w:rsidR="00232004" w:rsidRPr="005E5A78" w:rsidRDefault="00232004" w:rsidP="0016529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</w:pPr>
            <w:r w:rsidRPr="005E5A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10%</w:t>
            </w:r>
          </w:p>
        </w:tc>
      </w:tr>
      <w:tr w:rsidR="00996A72" w:rsidRPr="00996A72" w:rsidTr="00751215">
        <w:trPr>
          <w:trHeight w:val="600"/>
          <w:jc w:val="center"/>
        </w:trPr>
        <w:tc>
          <w:tcPr>
            <w:tcW w:w="769" w:type="dxa"/>
            <w:hideMark/>
          </w:tcPr>
          <w:p w:rsidR="00232004" w:rsidRPr="00996A72" w:rsidRDefault="00F66CAF" w:rsidP="00996A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3"/>
              </w:rPr>
              <w:t>PI-08</w:t>
            </w:r>
          </w:p>
        </w:tc>
        <w:tc>
          <w:tcPr>
            <w:tcW w:w="2505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3"/>
              </w:rPr>
            </w:pP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Lograr un mayor aprovechamiento de bienes en fideicomiso</w:t>
            </w:r>
          </w:p>
        </w:tc>
        <w:tc>
          <w:tcPr>
            <w:tcW w:w="2317" w:type="dxa"/>
            <w:hideMark/>
          </w:tcPr>
          <w:p w:rsidR="004B1F7F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3"/>
              </w:rPr>
            </w:pP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Porcentaje de bienes en fideicomiso desarro</w:t>
            </w:r>
            <w:r w:rsidR="004B1F7F">
              <w:rPr>
                <w:rFonts w:asciiTheme="minorHAnsi" w:hAnsiTheme="minorHAnsi" w:cstheme="minorHAnsi"/>
                <w:sz w:val="20"/>
                <w:szCs w:val="23"/>
              </w:rPr>
              <w:t>l</w:t>
            </w: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lados</w:t>
            </w:r>
          </w:p>
        </w:tc>
        <w:tc>
          <w:tcPr>
            <w:tcW w:w="1206" w:type="dxa"/>
            <w:hideMark/>
          </w:tcPr>
          <w:p w:rsidR="00232004" w:rsidRPr="00996A72" w:rsidRDefault="000D63A7" w:rsidP="004B1F7F">
            <w:pPr>
              <w:jc w:val="center"/>
              <w:rPr>
                <w:rFonts w:asciiTheme="minorHAnsi" w:hAnsiTheme="minorHAnsi" w:cstheme="minorHAnsi"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sz w:val="20"/>
                <w:szCs w:val="23"/>
              </w:rPr>
              <w:t>80</w:t>
            </w:r>
            <w:r w:rsidR="00232004" w:rsidRPr="00996A72">
              <w:rPr>
                <w:rFonts w:asciiTheme="minorHAnsi" w:hAnsiTheme="minorHAnsi" w:cstheme="minorHAnsi"/>
                <w:sz w:val="20"/>
                <w:szCs w:val="23"/>
              </w:rPr>
              <w:t>%</w:t>
            </w:r>
          </w:p>
        </w:tc>
        <w:tc>
          <w:tcPr>
            <w:tcW w:w="1162" w:type="dxa"/>
            <w:hideMark/>
          </w:tcPr>
          <w:p w:rsidR="00232004" w:rsidRPr="00996A72" w:rsidRDefault="000D63A7" w:rsidP="004B1F7F">
            <w:pPr>
              <w:jc w:val="center"/>
              <w:rPr>
                <w:rFonts w:asciiTheme="minorHAnsi" w:hAnsiTheme="minorHAnsi" w:cstheme="minorHAnsi"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sz w:val="20"/>
                <w:szCs w:val="23"/>
              </w:rPr>
              <w:t>0</w:t>
            </w:r>
            <w:r w:rsidR="00232004" w:rsidRPr="00996A72">
              <w:rPr>
                <w:rFonts w:asciiTheme="minorHAnsi" w:hAnsiTheme="minorHAnsi" w:cstheme="minorHAnsi"/>
                <w:sz w:val="20"/>
                <w:szCs w:val="23"/>
              </w:rPr>
              <w:t>%</w:t>
            </w:r>
          </w:p>
        </w:tc>
        <w:tc>
          <w:tcPr>
            <w:tcW w:w="1285" w:type="dxa"/>
            <w:shd w:val="clear" w:color="auto" w:fill="FF0000"/>
            <w:hideMark/>
          </w:tcPr>
          <w:p w:rsidR="00232004" w:rsidRPr="005E5A78" w:rsidRDefault="00EA3396" w:rsidP="008F0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0</w:t>
            </w:r>
            <w:r w:rsidR="00232004" w:rsidRPr="005E5A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%</w:t>
            </w:r>
          </w:p>
        </w:tc>
        <w:tc>
          <w:tcPr>
            <w:tcW w:w="1422" w:type="dxa"/>
            <w:shd w:val="clear" w:color="auto" w:fill="FF0000"/>
            <w:hideMark/>
          </w:tcPr>
          <w:p w:rsidR="00232004" w:rsidRPr="005E5A78" w:rsidRDefault="0016529E" w:rsidP="0016529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</w:pPr>
            <w:r w:rsidRPr="005E5A7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0%</w:t>
            </w:r>
          </w:p>
        </w:tc>
      </w:tr>
      <w:tr w:rsidR="00996A72" w:rsidRPr="00996A72" w:rsidTr="00751215">
        <w:trPr>
          <w:trHeight w:val="525"/>
          <w:jc w:val="center"/>
        </w:trPr>
        <w:tc>
          <w:tcPr>
            <w:tcW w:w="769" w:type="dxa"/>
            <w:hideMark/>
          </w:tcPr>
          <w:p w:rsidR="00232004" w:rsidRPr="00996A72" w:rsidRDefault="00F66CAF" w:rsidP="00996A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3"/>
              </w:rPr>
              <w:t>PI-09</w:t>
            </w:r>
          </w:p>
        </w:tc>
        <w:tc>
          <w:tcPr>
            <w:tcW w:w="2505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3"/>
              </w:rPr>
            </w:pP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Mejorar el ordenamiento administrativo</w:t>
            </w:r>
          </w:p>
        </w:tc>
        <w:tc>
          <w:tcPr>
            <w:tcW w:w="2317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3"/>
              </w:rPr>
            </w:pP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Porcentaje de procesos ordenados</w:t>
            </w:r>
          </w:p>
        </w:tc>
        <w:tc>
          <w:tcPr>
            <w:tcW w:w="1206" w:type="dxa"/>
            <w:hideMark/>
          </w:tcPr>
          <w:p w:rsidR="00232004" w:rsidRPr="00996A72" w:rsidRDefault="000D63A7" w:rsidP="004B1F7F">
            <w:pPr>
              <w:jc w:val="center"/>
              <w:rPr>
                <w:rFonts w:asciiTheme="minorHAnsi" w:hAnsiTheme="minorHAnsi" w:cstheme="minorHAnsi"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sz w:val="20"/>
                <w:szCs w:val="23"/>
              </w:rPr>
              <w:t>10</w:t>
            </w:r>
            <w:r w:rsidR="00232004" w:rsidRPr="00996A72">
              <w:rPr>
                <w:rFonts w:asciiTheme="minorHAnsi" w:hAnsiTheme="minorHAnsi" w:cstheme="minorHAnsi"/>
                <w:sz w:val="20"/>
                <w:szCs w:val="23"/>
              </w:rPr>
              <w:t>%</w:t>
            </w:r>
          </w:p>
        </w:tc>
        <w:tc>
          <w:tcPr>
            <w:tcW w:w="1162" w:type="dxa"/>
            <w:hideMark/>
          </w:tcPr>
          <w:p w:rsidR="00232004" w:rsidRPr="00996A72" w:rsidRDefault="000D63A7" w:rsidP="004B1F7F">
            <w:pPr>
              <w:jc w:val="center"/>
              <w:rPr>
                <w:rFonts w:asciiTheme="minorHAnsi" w:hAnsiTheme="minorHAnsi" w:cstheme="minorHAnsi"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sz w:val="20"/>
                <w:szCs w:val="23"/>
              </w:rPr>
              <w:t>12</w:t>
            </w:r>
            <w:r w:rsidR="00232004" w:rsidRPr="00996A72">
              <w:rPr>
                <w:rFonts w:asciiTheme="minorHAnsi" w:hAnsiTheme="minorHAnsi" w:cstheme="minorHAnsi"/>
                <w:sz w:val="20"/>
                <w:szCs w:val="23"/>
              </w:rPr>
              <w:t>%</w:t>
            </w:r>
          </w:p>
        </w:tc>
        <w:tc>
          <w:tcPr>
            <w:tcW w:w="1285" w:type="dxa"/>
            <w:shd w:val="clear" w:color="auto" w:fill="3366FF"/>
            <w:hideMark/>
          </w:tcPr>
          <w:p w:rsidR="00232004" w:rsidRPr="00053EA6" w:rsidRDefault="00053EA6" w:rsidP="008F0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120</w:t>
            </w:r>
            <w:r w:rsidR="00232004" w:rsidRPr="00053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%</w:t>
            </w:r>
          </w:p>
        </w:tc>
        <w:tc>
          <w:tcPr>
            <w:tcW w:w="1422" w:type="dxa"/>
            <w:shd w:val="clear" w:color="auto" w:fill="00B050"/>
            <w:hideMark/>
          </w:tcPr>
          <w:p w:rsidR="00232004" w:rsidRPr="00053EA6" w:rsidRDefault="00232004" w:rsidP="0016529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</w:pPr>
            <w:r w:rsidRPr="00053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10%</w:t>
            </w:r>
          </w:p>
        </w:tc>
      </w:tr>
      <w:tr w:rsidR="00996A72" w:rsidRPr="00996A72" w:rsidTr="00751215">
        <w:trPr>
          <w:trHeight w:val="1200"/>
          <w:jc w:val="center"/>
        </w:trPr>
        <w:tc>
          <w:tcPr>
            <w:tcW w:w="769" w:type="dxa"/>
            <w:hideMark/>
          </w:tcPr>
          <w:p w:rsidR="00232004" w:rsidRPr="00996A72" w:rsidRDefault="00F66CAF" w:rsidP="00996A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3"/>
              </w:rPr>
              <w:t>PI-10</w:t>
            </w:r>
          </w:p>
        </w:tc>
        <w:tc>
          <w:tcPr>
            <w:tcW w:w="2505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3"/>
              </w:rPr>
            </w:pP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Simplificar los  trámites en el BANHVI y Entidades Autorizadas en lo relacionado al proceso de aprobación de bonos familiares de vivienda y bonos comunales</w:t>
            </w:r>
          </w:p>
        </w:tc>
        <w:tc>
          <w:tcPr>
            <w:tcW w:w="2317" w:type="dxa"/>
            <w:hideMark/>
          </w:tcPr>
          <w:p w:rsidR="00232004" w:rsidRPr="00996A72" w:rsidRDefault="00232004" w:rsidP="00996A72">
            <w:pPr>
              <w:jc w:val="both"/>
              <w:rPr>
                <w:rFonts w:asciiTheme="minorHAnsi" w:hAnsiTheme="minorHAnsi" w:cstheme="minorHAnsi"/>
                <w:sz w:val="20"/>
                <w:szCs w:val="23"/>
              </w:rPr>
            </w:pPr>
            <w:r w:rsidRPr="00996A72">
              <w:rPr>
                <w:rFonts w:asciiTheme="minorHAnsi" w:hAnsiTheme="minorHAnsi" w:cstheme="minorHAnsi"/>
                <w:sz w:val="20"/>
                <w:szCs w:val="23"/>
              </w:rPr>
              <w:t>Porcentaje de trámites simplificados</w:t>
            </w:r>
          </w:p>
        </w:tc>
        <w:tc>
          <w:tcPr>
            <w:tcW w:w="1206" w:type="dxa"/>
            <w:hideMark/>
          </w:tcPr>
          <w:p w:rsidR="00232004" w:rsidRPr="00996A72" w:rsidRDefault="000D63A7" w:rsidP="004B1F7F">
            <w:pPr>
              <w:jc w:val="center"/>
              <w:rPr>
                <w:rFonts w:asciiTheme="minorHAnsi" w:hAnsiTheme="minorHAnsi" w:cstheme="minorHAnsi"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sz w:val="20"/>
                <w:szCs w:val="23"/>
              </w:rPr>
              <w:t>100</w:t>
            </w:r>
            <w:r w:rsidR="00232004" w:rsidRPr="00996A72">
              <w:rPr>
                <w:rFonts w:asciiTheme="minorHAnsi" w:hAnsiTheme="minorHAnsi" w:cstheme="minorHAnsi"/>
                <w:sz w:val="20"/>
                <w:szCs w:val="23"/>
              </w:rPr>
              <w:t>%</w:t>
            </w:r>
          </w:p>
        </w:tc>
        <w:tc>
          <w:tcPr>
            <w:tcW w:w="1162" w:type="dxa"/>
            <w:hideMark/>
          </w:tcPr>
          <w:p w:rsidR="00232004" w:rsidRPr="00996A72" w:rsidRDefault="000D63A7" w:rsidP="004B1F7F">
            <w:pPr>
              <w:jc w:val="center"/>
              <w:rPr>
                <w:rFonts w:asciiTheme="minorHAnsi" w:hAnsiTheme="minorHAnsi" w:cstheme="minorHAnsi"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sz w:val="20"/>
                <w:szCs w:val="23"/>
              </w:rPr>
              <w:t>100</w:t>
            </w:r>
            <w:r w:rsidR="00232004" w:rsidRPr="00996A72">
              <w:rPr>
                <w:rFonts w:asciiTheme="minorHAnsi" w:hAnsiTheme="minorHAnsi" w:cstheme="minorHAnsi"/>
                <w:sz w:val="20"/>
                <w:szCs w:val="23"/>
              </w:rPr>
              <w:t>%</w:t>
            </w:r>
          </w:p>
        </w:tc>
        <w:tc>
          <w:tcPr>
            <w:tcW w:w="1285" w:type="dxa"/>
            <w:shd w:val="clear" w:color="auto" w:fill="00B050"/>
            <w:hideMark/>
          </w:tcPr>
          <w:p w:rsidR="00232004" w:rsidRPr="00053EA6" w:rsidRDefault="00053EA6" w:rsidP="008F0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100</w:t>
            </w:r>
            <w:r w:rsidR="00232004" w:rsidRPr="00053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%</w:t>
            </w:r>
          </w:p>
        </w:tc>
        <w:tc>
          <w:tcPr>
            <w:tcW w:w="1422" w:type="dxa"/>
            <w:shd w:val="clear" w:color="auto" w:fill="00B050"/>
            <w:hideMark/>
          </w:tcPr>
          <w:p w:rsidR="00232004" w:rsidRPr="00053EA6" w:rsidRDefault="00232004" w:rsidP="0016529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</w:pPr>
            <w:r w:rsidRPr="00053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3"/>
              </w:rPr>
              <w:t>10%</w:t>
            </w:r>
          </w:p>
        </w:tc>
      </w:tr>
      <w:tr w:rsidR="00996A72" w:rsidRPr="00996A72" w:rsidTr="00F66CAF">
        <w:trPr>
          <w:trHeight w:val="315"/>
          <w:jc w:val="center"/>
        </w:trPr>
        <w:tc>
          <w:tcPr>
            <w:tcW w:w="9244" w:type="dxa"/>
            <w:gridSpan w:val="6"/>
            <w:shd w:val="clear" w:color="auto" w:fill="DBE5F1" w:themeFill="accent1" w:themeFillTint="33"/>
            <w:noWrap/>
            <w:hideMark/>
          </w:tcPr>
          <w:p w:rsidR="00996A72" w:rsidRPr="00996A72" w:rsidRDefault="00996A72" w:rsidP="00B40C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Total OE                                                                                                                                            </w:t>
            </w:r>
            <w:r w:rsidRPr="00996A7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1422" w:type="dxa"/>
            <w:shd w:val="clear" w:color="auto" w:fill="DBE5F1" w:themeFill="accent1" w:themeFillTint="33"/>
            <w:noWrap/>
            <w:hideMark/>
          </w:tcPr>
          <w:p w:rsidR="00996A72" w:rsidRPr="00996A72" w:rsidRDefault="00996A72" w:rsidP="002D79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7</w:t>
            </w:r>
            <w:r w:rsidR="002D796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%</w:t>
            </w:r>
          </w:p>
        </w:tc>
      </w:tr>
    </w:tbl>
    <w:p w:rsidR="00042300" w:rsidRDefault="00E5586F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lastRenderedPageBreak/>
        <w:t xml:space="preserve">En el cuadro 4, se puede observar que </w:t>
      </w:r>
      <w:r w:rsidR="006F72A6">
        <w:rPr>
          <w:rFonts w:asciiTheme="minorHAnsi" w:hAnsiTheme="minorHAnsi" w:cstheme="minorHAnsi"/>
          <w:sz w:val="23"/>
          <w:szCs w:val="23"/>
          <w:lang w:val="es-MX"/>
        </w:rPr>
        <w:t>5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objetivos se encuentran en el rango de excelente cumpliéndose </w:t>
      </w:r>
      <w:r w:rsidR="00D179B5">
        <w:rPr>
          <w:rFonts w:asciiTheme="minorHAnsi" w:hAnsiTheme="minorHAnsi" w:cstheme="minorHAnsi"/>
          <w:sz w:val="23"/>
          <w:szCs w:val="23"/>
          <w:lang w:val="es-MX"/>
        </w:rPr>
        <w:t>a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cabalidad con lo requerido, </w:t>
      </w:r>
      <w:r w:rsidR="00A04EC0">
        <w:rPr>
          <w:rFonts w:asciiTheme="minorHAnsi" w:hAnsiTheme="minorHAnsi" w:cstheme="minorHAnsi"/>
          <w:sz w:val="23"/>
          <w:szCs w:val="23"/>
          <w:lang w:val="es-MX"/>
        </w:rPr>
        <w:t>2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objetivo en el rango de aceptable y </w:t>
      </w:r>
      <w:r w:rsidR="00A04EC0">
        <w:rPr>
          <w:rFonts w:asciiTheme="minorHAnsi" w:hAnsiTheme="minorHAnsi" w:cstheme="minorHAnsi"/>
          <w:sz w:val="23"/>
          <w:szCs w:val="23"/>
          <w:lang w:val="es-MX"/>
        </w:rPr>
        <w:t>3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en el </w:t>
      </w:r>
      <w:r w:rsidR="0034195B">
        <w:rPr>
          <w:rFonts w:asciiTheme="minorHAnsi" w:hAnsiTheme="minorHAnsi" w:cstheme="minorHAnsi"/>
          <w:sz w:val="23"/>
          <w:szCs w:val="23"/>
          <w:lang w:val="es-MX"/>
        </w:rPr>
        <w:t xml:space="preserve">parámetro </w:t>
      </w:r>
      <w:r w:rsidR="00E24BD8">
        <w:rPr>
          <w:rFonts w:asciiTheme="minorHAnsi" w:hAnsiTheme="minorHAnsi" w:cstheme="minorHAnsi"/>
          <w:sz w:val="23"/>
          <w:szCs w:val="23"/>
          <w:lang w:val="es-MX"/>
        </w:rPr>
        <w:t xml:space="preserve">de necesidad de mejora; los cuales se detallan a continuación: </w:t>
      </w:r>
    </w:p>
    <w:p w:rsidR="00E5586F" w:rsidRDefault="00E5586F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A0048C" w:rsidRPr="00D179B5" w:rsidRDefault="007D3561" w:rsidP="00D179B5">
      <w:pPr>
        <w:pStyle w:val="Prrafodelista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 w:rsidRPr="00D179B5">
        <w:rPr>
          <w:rFonts w:asciiTheme="minorHAnsi" w:hAnsiTheme="minorHAnsi" w:cstheme="minorHAnsi"/>
          <w:sz w:val="23"/>
          <w:szCs w:val="23"/>
          <w:lang w:val="es-MX"/>
        </w:rPr>
        <w:t>PI</w:t>
      </w:r>
      <w:r w:rsidR="00E24BD8" w:rsidRPr="00D179B5">
        <w:rPr>
          <w:rFonts w:asciiTheme="minorHAnsi" w:hAnsiTheme="minorHAnsi" w:cstheme="minorHAnsi"/>
          <w:sz w:val="23"/>
          <w:szCs w:val="23"/>
          <w:lang w:val="es-MX"/>
        </w:rPr>
        <w:t>-0</w:t>
      </w:r>
      <w:r w:rsidR="005051AC" w:rsidRPr="00D179B5">
        <w:rPr>
          <w:rFonts w:asciiTheme="minorHAnsi" w:hAnsiTheme="minorHAnsi" w:cstheme="minorHAnsi"/>
          <w:sz w:val="23"/>
          <w:szCs w:val="23"/>
          <w:lang w:val="es-MX"/>
        </w:rPr>
        <w:t>1</w:t>
      </w:r>
      <w:r w:rsidR="00E24BD8" w:rsidRPr="00D179B5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E24BD8" w:rsidRPr="00D179B5">
        <w:rPr>
          <w:rFonts w:asciiTheme="minorHAnsi" w:hAnsiTheme="minorHAnsi" w:cstheme="minorHAnsi"/>
          <w:i/>
          <w:sz w:val="23"/>
          <w:szCs w:val="23"/>
          <w:lang w:val="es-MX"/>
        </w:rPr>
        <w:t>“</w:t>
      </w:r>
      <w:r w:rsidR="005051AC" w:rsidRPr="00D179B5">
        <w:rPr>
          <w:rFonts w:asciiTheme="minorHAnsi" w:hAnsiTheme="minorHAnsi" w:cstheme="minorHAnsi"/>
          <w:i/>
          <w:sz w:val="23"/>
          <w:szCs w:val="23"/>
          <w:lang w:val="es-MX"/>
        </w:rPr>
        <w:t>Tramitar con agilidad los subsidios art. 59</w:t>
      </w:r>
      <w:r w:rsidR="00E24BD8" w:rsidRPr="00D179B5">
        <w:rPr>
          <w:rFonts w:asciiTheme="minorHAnsi" w:hAnsiTheme="minorHAnsi" w:cstheme="minorHAnsi"/>
          <w:sz w:val="23"/>
          <w:szCs w:val="23"/>
          <w:lang w:val="es-MX"/>
        </w:rPr>
        <w:t>”</w:t>
      </w:r>
      <w:r w:rsidR="00A13884" w:rsidRPr="00D179B5">
        <w:rPr>
          <w:rFonts w:asciiTheme="minorHAnsi" w:hAnsiTheme="minorHAnsi" w:cstheme="minorHAnsi"/>
          <w:sz w:val="23"/>
          <w:szCs w:val="23"/>
          <w:lang w:val="es-MX"/>
        </w:rPr>
        <w:t xml:space="preserve"> obtuvo una calificación del 61%. Durante el periodo de estudio se aprobaron 268 bonos artículo 59 individual, de los cuales 163 se aprobaron en tiempo </w:t>
      </w:r>
      <w:r w:rsidR="00837EE7" w:rsidRPr="00D179B5">
        <w:rPr>
          <w:rFonts w:asciiTheme="minorHAnsi" w:hAnsiTheme="minorHAnsi" w:cstheme="minorHAnsi"/>
          <w:sz w:val="23"/>
          <w:szCs w:val="23"/>
          <w:lang w:val="es-MX"/>
        </w:rPr>
        <w:t>establecido</w:t>
      </w:r>
      <w:r w:rsidR="00A13884" w:rsidRPr="00D179B5">
        <w:rPr>
          <w:rFonts w:asciiTheme="minorHAnsi" w:hAnsiTheme="minorHAnsi" w:cstheme="minorHAnsi"/>
          <w:sz w:val="23"/>
          <w:szCs w:val="23"/>
          <w:lang w:val="es-MX"/>
        </w:rPr>
        <w:t xml:space="preserve"> según la directriz DF-CI-0715-2015. La</w:t>
      </w:r>
      <w:r w:rsidR="00755676" w:rsidRPr="00D179B5">
        <w:rPr>
          <w:rFonts w:asciiTheme="minorHAnsi" w:hAnsiTheme="minorHAnsi" w:cstheme="minorHAnsi"/>
          <w:sz w:val="23"/>
          <w:szCs w:val="23"/>
          <w:lang w:val="es-MX"/>
        </w:rPr>
        <w:t xml:space="preserve"> dependencia </w:t>
      </w:r>
      <w:r w:rsidR="00D179B5" w:rsidRPr="00D179B5">
        <w:rPr>
          <w:rFonts w:asciiTheme="minorHAnsi" w:hAnsiTheme="minorHAnsi" w:cstheme="minorHAnsi"/>
          <w:sz w:val="23"/>
          <w:szCs w:val="23"/>
          <w:lang w:val="es-MX"/>
        </w:rPr>
        <w:t xml:space="preserve">justifica el retraso en esta meta debido a las cargas de trabajo que se han presentado en los últimos periodos y la falta de recurso humano, según indica el Departamento de Análisis y Control </w:t>
      </w:r>
      <w:r w:rsidR="00755676" w:rsidRPr="00D179B5">
        <w:rPr>
          <w:rFonts w:asciiTheme="minorHAnsi" w:hAnsiTheme="minorHAnsi" w:cstheme="minorHAnsi"/>
          <w:sz w:val="23"/>
          <w:szCs w:val="23"/>
          <w:lang w:val="es-MX"/>
        </w:rPr>
        <w:t>mediante nota DAC-OF-2617-2016 del 10 de noviembre 2016 solicitó la creación de 4 plazas, 2 de ellas para analizar la revisión de expedientes debido a que en el año 2015 ingresaron 11</w:t>
      </w:r>
      <w:r w:rsidR="00D179B5">
        <w:rPr>
          <w:rFonts w:asciiTheme="minorHAnsi" w:hAnsiTheme="minorHAnsi" w:cstheme="minorHAnsi"/>
          <w:sz w:val="23"/>
          <w:szCs w:val="23"/>
          <w:lang w:val="es-MX"/>
        </w:rPr>
        <w:t>.</w:t>
      </w:r>
      <w:r w:rsidR="00755676" w:rsidRPr="00D179B5">
        <w:rPr>
          <w:rFonts w:asciiTheme="minorHAnsi" w:hAnsiTheme="minorHAnsi" w:cstheme="minorHAnsi"/>
          <w:sz w:val="23"/>
          <w:szCs w:val="23"/>
          <w:lang w:val="es-MX"/>
        </w:rPr>
        <w:t xml:space="preserve">290 y </w:t>
      </w:r>
      <w:r w:rsidR="00B25CD4" w:rsidRPr="00D179B5">
        <w:rPr>
          <w:rFonts w:asciiTheme="minorHAnsi" w:hAnsiTheme="minorHAnsi" w:cstheme="minorHAnsi"/>
          <w:sz w:val="23"/>
          <w:szCs w:val="23"/>
          <w:lang w:val="es-MX"/>
        </w:rPr>
        <w:t>a noviembre</w:t>
      </w:r>
      <w:r w:rsidR="00D179B5">
        <w:rPr>
          <w:rFonts w:asciiTheme="minorHAnsi" w:hAnsiTheme="minorHAnsi" w:cstheme="minorHAnsi"/>
          <w:sz w:val="23"/>
          <w:szCs w:val="23"/>
          <w:lang w:val="es-MX"/>
        </w:rPr>
        <w:t xml:space="preserve"> 2016, 11.0</w:t>
      </w:r>
      <w:r w:rsidR="00B25CD4" w:rsidRPr="00D179B5">
        <w:rPr>
          <w:rFonts w:asciiTheme="minorHAnsi" w:hAnsiTheme="minorHAnsi" w:cstheme="minorHAnsi"/>
          <w:sz w:val="23"/>
          <w:szCs w:val="23"/>
          <w:lang w:val="es-MX"/>
        </w:rPr>
        <w:t xml:space="preserve">66 expedientes, esto implica </w:t>
      </w:r>
      <w:r w:rsidR="00D179B5">
        <w:rPr>
          <w:rFonts w:asciiTheme="minorHAnsi" w:hAnsiTheme="minorHAnsi" w:cstheme="minorHAnsi"/>
          <w:sz w:val="23"/>
          <w:szCs w:val="23"/>
          <w:lang w:val="es-MX"/>
        </w:rPr>
        <w:t xml:space="preserve">una </w:t>
      </w:r>
      <w:r w:rsidR="00B25CD4" w:rsidRPr="00D179B5">
        <w:rPr>
          <w:rFonts w:asciiTheme="minorHAnsi" w:hAnsiTheme="minorHAnsi" w:cstheme="minorHAnsi"/>
          <w:sz w:val="23"/>
          <w:szCs w:val="23"/>
          <w:lang w:val="es-MX"/>
        </w:rPr>
        <w:t>carga de trabajo en revisión de expedientes,</w:t>
      </w:r>
      <w:r w:rsidR="00E23D7D">
        <w:rPr>
          <w:rFonts w:asciiTheme="minorHAnsi" w:hAnsiTheme="minorHAnsi" w:cstheme="minorHAnsi"/>
          <w:sz w:val="23"/>
          <w:szCs w:val="23"/>
          <w:lang w:val="es-MX"/>
        </w:rPr>
        <w:t xml:space="preserve"> capacitaciones y</w:t>
      </w:r>
      <w:r w:rsidR="00B25CD4" w:rsidRPr="00D179B5">
        <w:rPr>
          <w:rFonts w:asciiTheme="minorHAnsi" w:hAnsiTheme="minorHAnsi" w:cstheme="minorHAnsi"/>
          <w:sz w:val="23"/>
          <w:szCs w:val="23"/>
          <w:lang w:val="es-MX"/>
        </w:rPr>
        <w:t xml:space="preserve"> proceso de inducción al Sistema de entidades nuevas. </w:t>
      </w:r>
    </w:p>
    <w:p w:rsidR="001D0AEE" w:rsidRDefault="001D0AEE" w:rsidP="001D0AEE">
      <w:pPr>
        <w:pStyle w:val="Prrafodelista"/>
        <w:spacing w:line="360" w:lineRule="auto"/>
        <w:ind w:left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1D0AEE" w:rsidRDefault="001D0AEE" w:rsidP="001D0AEE">
      <w:pPr>
        <w:pStyle w:val="Prrafodelista"/>
        <w:spacing w:line="360" w:lineRule="auto"/>
        <w:ind w:left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Sin embargo,</w:t>
      </w:r>
      <w:r w:rsidR="00D44AA8">
        <w:rPr>
          <w:rFonts w:asciiTheme="minorHAnsi" w:hAnsiTheme="minorHAnsi" w:cstheme="minorHAnsi"/>
          <w:sz w:val="23"/>
          <w:szCs w:val="23"/>
          <w:lang w:val="es-MX"/>
        </w:rPr>
        <w:t xml:space="preserve"> la Dirección Administrativa mediante </w:t>
      </w:r>
      <w:r w:rsidR="00F20124">
        <w:rPr>
          <w:rFonts w:asciiTheme="minorHAnsi" w:hAnsiTheme="minorHAnsi" w:cstheme="minorHAnsi"/>
          <w:sz w:val="23"/>
          <w:szCs w:val="23"/>
          <w:lang w:val="es-MX"/>
        </w:rPr>
        <w:t>oficio DAD-OF-0028-2017</w:t>
      </w:r>
      <w:r w:rsidR="0052002F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D44AA8">
        <w:rPr>
          <w:rFonts w:asciiTheme="minorHAnsi" w:hAnsiTheme="minorHAnsi" w:cstheme="minorHAnsi"/>
          <w:sz w:val="23"/>
          <w:szCs w:val="23"/>
          <w:lang w:val="es-MX"/>
        </w:rPr>
        <w:t xml:space="preserve">del 8 de febrero del 2017 remite una propuesta a la Gerencia General </w:t>
      </w:r>
      <w:r w:rsidR="00C45907">
        <w:rPr>
          <w:rFonts w:asciiTheme="minorHAnsi" w:hAnsiTheme="minorHAnsi" w:cstheme="minorHAnsi"/>
          <w:sz w:val="23"/>
          <w:szCs w:val="23"/>
          <w:lang w:val="es-MX"/>
        </w:rPr>
        <w:t xml:space="preserve">de la creación de dos plazas para el </w:t>
      </w:r>
      <w:r w:rsidR="00EA4614">
        <w:rPr>
          <w:rFonts w:asciiTheme="minorHAnsi" w:hAnsiTheme="minorHAnsi" w:cstheme="minorHAnsi"/>
          <w:sz w:val="23"/>
          <w:szCs w:val="23"/>
          <w:lang w:val="es-MX"/>
        </w:rPr>
        <w:t>D</w:t>
      </w:r>
      <w:r w:rsidR="00C45907">
        <w:rPr>
          <w:rFonts w:asciiTheme="minorHAnsi" w:hAnsiTheme="minorHAnsi" w:cstheme="minorHAnsi"/>
          <w:sz w:val="23"/>
          <w:szCs w:val="23"/>
          <w:lang w:val="es-MX"/>
        </w:rPr>
        <w:t xml:space="preserve">epto. </w:t>
      </w:r>
      <w:r w:rsidR="00EA4614">
        <w:rPr>
          <w:rFonts w:asciiTheme="minorHAnsi" w:hAnsiTheme="minorHAnsi" w:cstheme="minorHAnsi"/>
          <w:sz w:val="23"/>
          <w:szCs w:val="23"/>
          <w:lang w:val="es-MX"/>
        </w:rPr>
        <w:t>A</w:t>
      </w:r>
      <w:r w:rsidR="00C45907">
        <w:rPr>
          <w:rFonts w:asciiTheme="minorHAnsi" w:hAnsiTheme="minorHAnsi" w:cstheme="minorHAnsi"/>
          <w:sz w:val="23"/>
          <w:szCs w:val="23"/>
          <w:lang w:val="es-MX"/>
        </w:rPr>
        <w:t xml:space="preserve">nálisis y </w:t>
      </w:r>
      <w:r w:rsidR="00EA4614">
        <w:rPr>
          <w:rFonts w:asciiTheme="minorHAnsi" w:hAnsiTheme="minorHAnsi" w:cstheme="minorHAnsi"/>
          <w:sz w:val="23"/>
          <w:szCs w:val="23"/>
          <w:lang w:val="es-MX"/>
        </w:rPr>
        <w:t>C</w:t>
      </w:r>
      <w:r w:rsidR="00C45907">
        <w:rPr>
          <w:rFonts w:asciiTheme="minorHAnsi" w:hAnsiTheme="minorHAnsi" w:cstheme="minorHAnsi"/>
          <w:sz w:val="23"/>
          <w:szCs w:val="23"/>
          <w:lang w:val="es-MX"/>
        </w:rPr>
        <w:t xml:space="preserve">ontrol, dejando por fuera las otras 2 plazas relacionadas con la revisión de  expedientes. </w:t>
      </w:r>
    </w:p>
    <w:p w:rsidR="00A13884" w:rsidRPr="00A13884" w:rsidRDefault="00A13884" w:rsidP="00A13884">
      <w:pPr>
        <w:pStyle w:val="Prrafodelista"/>
        <w:spacing w:line="360" w:lineRule="auto"/>
        <w:ind w:left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0F3A00" w:rsidRDefault="005051AC" w:rsidP="00217EF4">
      <w:pPr>
        <w:pStyle w:val="Prrafodelista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 w:rsidRPr="000F3A00">
        <w:rPr>
          <w:rFonts w:asciiTheme="minorHAnsi" w:hAnsiTheme="minorHAnsi" w:cstheme="minorHAnsi"/>
          <w:sz w:val="23"/>
          <w:szCs w:val="23"/>
          <w:lang w:val="es-MX"/>
        </w:rPr>
        <w:t>P</w:t>
      </w:r>
      <w:r w:rsidR="007D3561" w:rsidRPr="000F3A00">
        <w:rPr>
          <w:rFonts w:asciiTheme="minorHAnsi" w:hAnsiTheme="minorHAnsi" w:cstheme="minorHAnsi"/>
          <w:sz w:val="23"/>
          <w:szCs w:val="23"/>
          <w:lang w:val="es-MX"/>
        </w:rPr>
        <w:t>I</w:t>
      </w:r>
      <w:r w:rsidRPr="000F3A00">
        <w:rPr>
          <w:rFonts w:asciiTheme="minorHAnsi" w:hAnsiTheme="minorHAnsi" w:cstheme="minorHAnsi"/>
          <w:sz w:val="23"/>
          <w:szCs w:val="23"/>
          <w:lang w:val="es-MX"/>
        </w:rPr>
        <w:t>-02 “</w:t>
      </w:r>
      <w:r w:rsidRPr="000F3A00">
        <w:rPr>
          <w:rFonts w:asciiTheme="minorHAnsi" w:hAnsiTheme="minorHAnsi" w:cstheme="minorHAnsi"/>
          <w:i/>
          <w:sz w:val="23"/>
          <w:szCs w:val="23"/>
          <w:lang w:val="es-MX"/>
        </w:rPr>
        <w:t>Mejorar los procesos internos para cumplir con los plazos establecidos en la normativa vigente en trámite de proyectos de Art. 59</w:t>
      </w:r>
      <w:r w:rsidRPr="000F3A00">
        <w:rPr>
          <w:rFonts w:asciiTheme="minorHAnsi" w:hAnsiTheme="minorHAnsi" w:cstheme="minorHAnsi"/>
          <w:sz w:val="23"/>
          <w:szCs w:val="23"/>
          <w:lang w:val="es-MX"/>
        </w:rPr>
        <w:t>” obtuvo una calificación del 35%, durante el periodo 2016 ingresaron 36 proyectos de los cuales la Junta Directiva aprobó</w:t>
      </w:r>
      <w:r w:rsidR="008C6663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 23 y </w:t>
      </w:r>
      <w:r w:rsidRPr="000F3A00">
        <w:rPr>
          <w:rFonts w:asciiTheme="minorHAnsi" w:hAnsiTheme="minorHAnsi" w:cstheme="minorHAnsi"/>
          <w:sz w:val="23"/>
          <w:szCs w:val="23"/>
          <w:lang w:val="es-MX"/>
        </w:rPr>
        <w:t>sol</w:t>
      </w:r>
      <w:r w:rsidR="008C6663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o 8 se aprobaron en el tiempo </w:t>
      </w:r>
      <w:r w:rsidR="00D71541">
        <w:rPr>
          <w:rFonts w:asciiTheme="minorHAnsi" w:hAnsiTheme="minorHAnsi" w:cstheme="minorHAnsi"/>
          <w:sz w:val="23"/>
          <w:szCs w:val="23"/>
          <w:lang w:val="es-MX"/>
        </w:rPr>
        <w:t xml:space="preserve">establecido </w:t>
      </w:r>
      <w:r w:rsidR="008C6663" w:rsidRPr="000F3A00">
        <w:rPr>
          <w:rFonts w:asciiTheme="minorHAnsi" w:hAnsiTheme="minorHAnsi" w:cstheme="minorHAnsi"/>
          <w:sz w:val="23"/>
          <w:szCs w:val="23"/>
          <w:lang w:val="es-MX"/>
        </w:rPr>
        <w:t>seg</w:t>
      </w:r>
      <w:r w:rsidR="00DE7FCE" w:rsidRPr="000F3A00">
        <w:rPr>
          <w:rFonts w:asciiTheme="minorHAnsi" w:hAnsiTheme="minorHAnsi" w:cstheme="minorHAnsi"/>
          <w:sz w:val="23"/>
          <w:szCs w:val="23"/>
          <w:lang w:val="es-MX"/>
        </w:rPr>
        <w:t>ún la directriz DF-CI-0715-2015</w:t>
      </w:r>
      <w:r w:rsidR="00D179B5">
        <w:rPr>
          <w:rFonts w:asciiTheme="minorHAnsi" w:hAnsiTheme="minorHAnsi" w:cstheme="minorHAnsi"/>
          <w:sz w:val="23"/>
          <w:szCs w:val="23"/>
          <w:lang w:val="es-MX"/>
        </w:rPr>
        <w:t xml:space="preserve">, esto, según señala la dependencia responsable, </w:t>
      </w:r>
      <w:r w:rsidR="000F3A00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debido a que las Entidades Autorizadas </w:t>
      </w:r>
      <w:r w:rsidR="00D179B5">
        <w:rPr>
          <w:rFonts w:asciiTheme="minorHAnsi" w:hAnsiTheme="minorHAnsi" w:cstheme="minorHAnsi"/>
          <w:sz w:val="23"/>
          <w:szCs w:val="23"/>
          <w:lang w:val="es-MX"/>
        </w:rPr>
        <w:t>envían</w:t>
      </w:r>
      <w:r w:rsidR="000F3A00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 la información con </w:t>
      </w:r>
      <w:r w:rsidR="00D179B5">
        <w:rPr>
          <w:rFonts w:asciiTheme="minorHAnsi" w:hAnsiTheme="minorHAnsi" w:cstheme="minorHAnsi"/>
          <w:sz w:val="23"/>
          <w:szCs w:val="23"/>
          <w:lang w:val="es-MX"/>
        </w:rPr>
        <w:t xml:space="preserve">reiterados </w:t>
      </w:r>
      <w:r w:rsidR="000F3A00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errores, lo que conlleva al personal hacer reprocesos en las diferentes etapas. </w:t>
      </w:r>
      <w:r w:rsidR="0086033F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Como acción de mejora la dependencia propone realizar capacitación </w:t>
      </w:r>
      <w:r w:rsidR="007D3561" w:rsidRPr="000F3A00">
        <w:rPr>
          <w:rFonts w:asciiTheme="minorHAnsi" w:hAnsiTheme="minorHAnsi" w:cstheme="minorHAnsi"/>
          <w:sz w:val="23"/>
          <w:szCs w:val="23"/>
          <w:lang w:val="es-MX"/>
        </w:rPr>
        <w:t>en materia</w:t>
      </w:r>
      <w:r w:rsidR="000F3A00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 de proyectos </w:t>
      </w:r>
      <w:r w:rsidR="000F3A00">
        <w:rPr>
          <w:rFonts w:asciiTheme="minorHAnsi" w:hAnsiTheme="minorHAnsi" w:cstheme="minorHAnsi"/>
          <w:sz w:val="23"/>
          <w:szCs w:val="23"/>
          <w:lang w:val="es-MX"/>
        </w:rPr>
        <w:t xml:space="preserve">y certificar a los usuarios como estímulo para mejorar los procesos en las Entidades Autorizadas. </w:t>
      </w:r>
    </w:p>
    <w:p w:rsidR="007E3E09" w:rsidRDefault="007831C1" w:rsidP="00217EF4">
      <w:pPr>
        <w:pStyle w:val="Prrafodelista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lastRenderedPageBreak/>
        <w:t>PI</w:t>
      </w:r>
      <w:bookmarkStart w:id="1" w:name="_GoBack"/>
      <w:bookmarkEnd w:id="1"/>
      <w:r w:rsidR="007E3E09" w:rsidRPr="000F3A00">
        <w:rPr>
          <w:rFonts w:asciiTheme="minorHAnsi" w:hAnsiTheme="minorHAnsi" w:cstheme="minorHAnsi"/>
          <w:sz w:val="23"/>
          <w:szCs w:val="23"/>
          <w:lang w:val="es-MX"/>
        </w:rPr>
        <w:t>-03 “</w:t>
      </w:r>
      <w:r w:rsidR="007E3E09" w:rsidRPr="000F3A00">
        <w:rPr>
          <w:rFonts w:asciiTheme="minorHAnsi" w:hAnsiTheme="minorHAnsi" w:cstheme="minorHAnsi"/>
          <w:i/>
          <w:sz w:val="23"/>
          <w:szCs w:val="23"/>
          <w:lang w:val="es-MX"/>
        </w:rPr>
        <w:t>Tramitar oportunamente los financiamientos</w:t>
      </w:r>
      <w:r w:rsidR="007E3E09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” </w:t>
      </w:r>
      <w:r w:rsidR="00F91642">
        <w:rPr>
          <w:rFonts w:asciiTheme="minorHAnsi" w:hAnsiTheme="minorHAnsi" w:cstheme="minorHAnsi"/>
          <w:sz w:val="23"/>
          <w:szCs w:val="23"/>
          <w:lang w:val="es-MX"/>
        </w:rPr>
        <w:t>(operaci</w:t>
      </w:r>
      <w:r w:rsidR="00FC235A">
        <w:rPr>
          <w:rFonts w:asciiTheme="minorHAnsi" w:hAnsiTheme="minorHAnsi" w:cstheme="minorHAnsi"/>
          <w:sz w:val="23"/>
          <w:szCs w:val="23"/>
          <w:lang w:val="es-MX"/>
        </w:rPr>
        <w:t>ones</w:t>
      </w:r>
      <w:r w:rsidR="00F91642">
        <w:rPr>
          <w:rFonts w:asciiTheme="minorHAnsi" w:hAnsiTheme="minorHAnsi" w:cstheme="minorHAnsi"/>
          <w:sz w:val="23"/>
          <w:szCs w:val="23"/>
          <w:lang w:val="es-MX"/>
        </w:rPr>
        <w:t xml:space="preserve"> crediticia</w:t>
      </w:r>
      <w:r w:rsidR="00FC235A">
        <w:rPr>
          <w:rFonts w:asciiTheme="minorHAnsi" w:hAnsiTheme="minorHAnsi" w:cstheme="minorHAnsi"/>
          <w:sz w:val="23"/>
          <w:szCs w:val="23"/>
          <w:lang w:val="es-MX"/>
        </w:rPr>
        <w:t>s</w:t>
      </w:r>
      <w:r w:rsidR="00F91642">
        <w:rPr>
          <w:rFonts w:asciiTheme="minorHAnsi" w:hAnsiTheme="minorHAnsi" w:cstheme="minorHAnsi"/>
          <w:sz w:val="23"/>
          <w:szCs w:val="23"/>
          <w:lang w:val="es-MX"/>
        </w:rPr>
        <w:t xml:space="preserve"> con las entidades autorizadas) </w:t>
      </w:r>
      <w:r w:rsidR="00DE7FCE" w:rsidRPr="000F3A00">
        <w:rPr>
          <w:rFonts w:asciiTheme="minorHAnsi" w:hAnsiTheme="minorHAnsi" w:cstheme="minorHAnsi"/>
          <w:sz w:val="23"/>
          <w:szCs w:val="23"/>
          <w:lang w:val="es-MX"/>
        </w:rPr>
        <w:t>sobrepasó la meta programa</w:t>
      </w:r>
      <w:r w:rsidR="00D71541">
        <w:rPr>
          <w:rFonts w:asciiTheme="minorHAnsi" w:hAnsiTheme="minorHAnsi" w:cstheme="minorHAnsi"/>
          <w:sz w:val="23"/>
          <w:szCs w:val="23"/>
          <w:lang w:val="es-MX"/>
        </w:rPr>
        <w:t>da de 80%</w:t>
      </w:r>
      <w:r w:rsidR="00DE7FCE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 en un 88%</w:t>
      </w:r>
      <w:r w:rsidR="00D71541">
        <w:rPr>
          <w:rFonts w:asciiTheme="minorHAnsi" w:hAnsiTheme="minorHAnsi" w:cstheme="minorHAnsi"/>
          <w:sz w:val="23"/>
          <w:szCs w:val="23"/>
          <w:lang w:val="es-MX"/>
        </w:rPr>
        <w:t>;</w:t>
      </w:r>
      <w:r w:rsidR="00DE7FCE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A1018F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se recibieron 8 solicitudes de financiamiento de las cuales 7 se tramitaron en menos tiempo según lo establece la metodología vigente. </w:t>
      </w:r>
    </w:p>
    <w:p w:rsidR="002837D1" w:rsidRPr="002837D1" w:rsidRDefault="002837D1" w:rsidP="002837D1">
      <w:pPr>
        <w:pStyle w:val="Prrafodelista"/>
        <w:rPr>
          <w:rFonts w:asciiTheme="minorHAnsi" w:hAnsiTheme="minorHAnsi" w:cstheme="minorHAnsi"/>
          <w:sz w:val="23"/>
          <w:szCs w:val="23"/>
          <w:lang w:val="es-MX"/>
        </w:rPr>
      </w:pPr>
    </w:p>
    <w:p w:rsidR="00EA567F" w:rsidRDefault="00DF15AE" w:rsidP="00EA567F">
      <w:pPr>
        <w:pStyle w:val="Prrafodelista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PI-04 “</w:t>
      </w:r>
      <w:r w:rsidR="000C5F9D" w:rsidRPr="000C5F9D">
        <w:rPr>
          <w:rFonts w:asciiTheme="minorHAnsi" w:hAnsiTheme="minorHAnsi" w:cstheme="minorHAnsi"/>
          <w:i/>
          <w:sz w:val="23"/>
          <w:szCs w:val="23"/>
          <w:lang w:val="es-MX"/>
        </w:rPr>
        <w:t>Ejecutar eficazmente los fondos destinados a bonos comunales</w:t>
      </w:r>
      <w:r w:rsidR="000C5F9D">
        <w:rPr>
          <w:rFonts w:asciiTheme="minorHAnsi" w:hAnsiTheme="minorHAnsi" w:cstheme="minorHAnsi"/>
          <w:sz w:val="23"/>
          <w:szCs w:val="23"/>
          <w:lang w:val="es-MX"/>
        </w:rPr>
        <w:t xml:space="preserve">” </w:t>
      </w:r>
      <w:r w:rsidR="00902B26">
        <w:rPr>
          <w:rFonts w:asciiTheme="minorHAnsi" w:hAnsiTheme="minorHAnsi" w:cstheme="minorHAnsi"/>
          <w:sz w:val="23"/>
          <w:szCs w:val="23"/>
          <w:lang w:val="es-MX"/>
        </w:rPr>
        <w:t>con una</w:t>
      </w:r>
      <w:r w:rsidR="000C5F9D">
        <w:rPr>
          <w:rFonts w:asciiTheme="minorHAnsi" w:hAnsiTheme="minorHAnsi" w:cstheme="minorHAnsi"/>
          <w:sz w:val="23"/>
          <w:szCs w:val="23"/>
          <w:lang w:val="es-MX"/>
        </w:rPr>
        <w:t xml:space="preserve"> calificación</w:t>
      </w:r>
      <w:r w:rsidR="00FB4C2A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CA2597">
        <w:rPr>
          <w:rFonts w:asciiTheme="minorHAnsi" w:hAnsiTheme="minorHAnsi" w:cstheme="minorHAnsi"/>
          <w:sz w:val="23"/>
          <w:szCs w:val="23"/>
          <w:lang w:val="es-MX"/>
        </w:rPr>
        <w:t xml:space="preserve">del 0%; </w:t>
      </w:r>
      <w:r w:rsidR="00EA567F">
        <w:rPr>
          <w:rFonts w:asciiTheme="minorHAnsi" w:hAnsiTheme="minorHAnsi" w:cstheme="minorHAnsi"/>
          <w:sz w:val="23"/>
          <w:szCs w:val="23"/>
          <w:lang w:val="es-MX"/>
        </w:rPr>
        <w:t>en el periodo 2016 se recibieron recursos sobre el Impuesto Solidario y Hacienda por ¢5</w:t>
      </w:r>
      <w:r w:rsidR="00304244">
        <w:rPr>
          <w:rFonts w:asciiTheme="minorHAnsi" w:hAnsiTheme="minorHAnsi" w:cstheme="minorHAnsi"/>
          <w:sz w:val="23"/>
          <w:szCs w:val="23"/>
          <w:lang w:val="es-MX"/>
        </w:rPr>
        <w:t xml:space="preserve">.664,2 millones. Sin embargo, los proyectos </w:t>
      </w:r>
      <w:r w:rsidR="002F2C3C">
        <w:rPr>
          <w:rFonts w:asciiTheme="minorHAnsi" w:hAnsiTheme="minorHAnsi" w:cstheme="minorHAnsi"/>
          <w:sz w:val="23"/>
          <w:szCs w:val="23"/>
          <w:lang w:val="es-MX"/>
        </w:rPr>
        <w:t>recibidos</w:t>
      </w:r>
      <w:r w:rsidR="00304244">
        <w:rPr>
          <w:rFonts w:asciiTheme="minorHAnsi" w:hAnsiTheme="minorHAnsi" w:cstheme="minorHAnsi"/>
          <w:sz w:val="23"/>
          <w:szCs w:val="23"/>
          <w:lang w:val="es-MX"/>
        </w:rPr>
        <w:t xml:space="preserve"> se comprometieron con recursos de periodos anteriores. </w:t>
      </w:r>
    </w:p>
    <w:p w:rsidR="00E5441F" w:rsidRDefault="00E5441F" w:rsidP="00E5441F">
      <w:pPr>
        <w:pStyle w:val="Prrafodelista"/>
        <w:spacing w:line="360" w:lineRule="auto"/>
        <w:ind w:left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1216FA" w:rsidRDefault="001216FA" w:rsidP="00EA567F">
      <w:pPr>
        <w:pStyle w:val="Prrafodelista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PI-05 “</w:t>
      </w:r>
      <w:r w:rsidRPr="001216FA">
        <w:rPr>
          <w:rFonts w:asciiTheme="minorHAnsi" w:hAnsiTheme="minorHAnsi" w:cstheme="minorHAnsi"/>
          <w:i/>
          <w:sz w:val="23"/>
          <w:szCs w:val="23"/>
          <w:lang w:val="es-MX"/>
        </w:rPr>
        <w:t>Mejorar el índice de eficiencia de las Entidades Autorizadas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” </w:t>
      </w:r>
      <w:r w:rsidR="00902B26">
        <w:rPr>
          <w:rFonts w:asciiTheme="minorHAnsi" w:hAnsiTheme="minorHAnsi" w:cstheme="minorHAnsi"/>
          <w:sz w:val="23"/>
          <w:szCs w:val="23"/>
          <w:lang w:val="es-MX"/>
        </w:rPr>
        <w:t>alcanzó</w:t>
      </w:r>
      <w:r w:rsidR="00424E79">
        <w:rPr>
          <w:rFonts w:asciiTheme="minorHAnsi" w:hAnsiTheme="minorHAnsi" w:cstheme="minorHAnsi"/>
          <w:sz w:val="23"/>
          <w:szCs w:val="23"/>
          <w:lang w:val="es-MX"/>
        </w:rPr>
        <w:t xml:space="preserve"> un cumplimiento del 52%</w:t>
      </w:r>
      <w:r w:rsidR="000372B6">
        <w:rPr>
          <w:rFonts w:asciiTheme="minorHAnsi" w:hAnsiTheme="minorHAnsi" w:cstheme="minorHAnsi"/>
          <w:sz w:val="23"/>
          <w:szCs w:val="23"/>
          <w:lang w:val="es-MX"/>
        </w:rPr>
        <w:t>;</w:t>
      </w:r>
      <w:r w:rsidR="00424E79">
        <w:rPr>
          <w:rFonts w:asciiTheme="minorHAnsi" w:hAnsiTheme="minorHAnsi" w:cstheme="minorHAnsi"/>
          <w:sz w:val="23"/>
          <w:szCs w:val="23"/>
          <w:lang w:val="es-MX"/>
        </w:rPr>
        <w:t xml:space="preserve"> de las 21 entidades autorizadas activas 11 poseen un índice de eficiencia mayor al 75%, las 10 restantes se encuentran entre el rango de eficiencia de 74% - 15%. </w:t>
      </w:r>
      <w:r w:rsidR="002D5C15">
        <w:rPr>
          <w:rFonts w:asciiTheme="minorHAnsi" w:hAnsiTheme="minorHAnsi" w:cstheme="minorHAnsi"/>
          <w:sz w:val="23"/>
          <w:szCs w:val="23"/>
          <w:lang w:val="es-MX"/>
        </w:rPr>
        <w:t>Como acción de mej</w:t>
      </w:r>
      <w:r w:rsidR="000372B6">
        <w:rPr>
          <w:rFonts w:asciiTheme="minorHAnsi" w:hAnsiTheme="minorHAnsi" w:cstheme="minorHAnsi"/>
          <w:sz w:val="23"/>
          <w:szCs w:val="23"/>
          <w:lang w:val="es-MX"/>
        </w:rPr>
        <w:t>ora se programaron</w:t>
      </w:r>
      <w:r w:rsidR="002D5C15">
        <w:rPr>
          <w:rFonts w:asciiTheme="minorHAnsi" w:hAnsiTheme="minorHAnsi" w:cstheme="minorHAnsi"/>
          <w:sz w:val="23"/>
          <w:szCs w:val="23"/>
          <w:lang w:val="es-MX"/>
        </w:rPr>
        <w:t xml:space="preserve"> capacitaciones, revisar la composición del índice y evaluar un programa de seguimiento sobre los factores que están afectando </w:t>
      </w:r>
      <w:r w:rsidR="000372B6">
        <w:rPr>
          <w:rFonts w:asciiTheme="minorHAnsi" w:hAnsiTheme="minorHAnsi" w:cstheme="minorHAnsi"/>
          <w:sz w:val="23"/>
          <w:szCs w:val="23"/>
          <w:lang w:val="es-MX"/>
        </w:rPr>
        <w:t xml:space="preserve">el </w:t>
      </w:r>
      <w:r w:rsidR="002D5C15">
        <w:rPr>
          <w:rFonts w:asciiTheme="minorHAnsi" w:hAnsiTheme="minorHAnsi" w:cstheme="minorHAnsi"/>
          <w:sz w:val="23"/>
          <w:szCs w:val="23"/>
          <w:lang w:val="es-MX"/>
        </w:rPr>
        <w:t xml:space="preserve">índice de las Entidades para así definir estrategias a seguir. </w:t>
      </w:r>
    </w:p>
    <w:p w:rsidR="002837D1" w:rsidRPr="002837D1" w:rsidRDefault="002837D1" w:rsidP="002837D1">
      <w:pPr>
        <w:pStyle w:val="Prrafodelista"/>
        <w:rPr>
          <w:rFonts w:asciiTheme="minorHAnsi" w:hAnsiTheme="minorHAnsi" w:cstheme="minorHAnsi"/>
          <w:sz w:val="23"/>
          <w:szCs w:val="23"/>
          <w:lang w:val="es-MX"/>
        </w:rPr>
      </w:pPr>
    </w:p>
    <w:p w:rsidR="00DD7C58" w:rsidRDefault="00DD7C58" w:rsidP="00EA567F">
      <w:pPr>
        <w:pStyle w:val="Prrafodelista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PI-06 “</w:t>
      </w:r>
      <w:r w:rsidRPr="00DD7C58">
        <w:rPr>
          <w:rFonts w:asciiTheme="minorHAnsi" w:hAnsiTheme="minorHAnsi" w:cstheme="minorHAnsi"/>
          <w:i/>
          <w:sz w:val="23"/>
          <w:szCs w:val="23"/>
          <w:lang w:val="es-MX"/>
        </w:rPr>
        <w:t>Atender oportunamente las recomendaciones de los órganos de control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” </w:t>
      </w:r>
      <w:r w:rsidR="000372B6">
        <w:rPr>
          <w:rFonts w:asciiTheme="minorHAnsi" w:hAnsiTheme="minorHAnsi" w:cstheme="minorHAnsi"/>
          <w:sz w:val="23"/>
          <w:szCs w:val="23"/>
          <w:lang w:val="es-MX"/>
        </w:rPr>
        <w:t>tiene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un cumplimiento del 61%, superando la meta proyecta</w:t>
      </w:r>
      <w:r w:rsidR="000372B6">
        <w:rPr>
          <w:rFonts w:asciiTheme="minorHAnsi" w:hAnsiTheme="minorHAnsi" w:cstheme="minorHAnsi"/>
          <w:sz w:val="23"/>
          <w:szCs w:val="23"/>
          <w:lang w:val="es-MX"/>
        </w:rPr>
        <w:t>da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de 45% del total</w:t>
      </w:r>
      <w:r w:rsidR="000372B6">
        <w:rPr>
          <w:rFonts w:asciiTheme="minorHAnsi" w:hAnsiTheme="minorHAnsi" w:cstheme="minorHAnsi"/>
          <w:sz w:val="23"/>
          <w:szCs w:val="23"/>
          <w:lang w:val="es-MX"/>
        </w:rPr>
        <w:t xml:space="preserve"> de 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5A3BA5">
        <w:rPr>
          <w:rFonts w:asciiTheme="minorHAnsi" w:hAnsiTheme="minorHAnsi" w:cstheme="minorHAnsi"/>
          <w:sz w:val="23"/>
          <w:szCs w:val="23"/>
          <w:lang w:val="es-MX"/>
        </w:rPr>
        <w:t>recomendaciones recibidas de Auditor</w:t>
      </w:r>
      <w:r w:rsidR="000372B6">
        <w:rPr>
          <w:rFonts w:asciiTheme="minorHAnsi" w:hAnsiTheme="minorHAnsi" w:cstheme="minorHAnsi"/>
          <w:sz w:val="23"/>
          <w:szCs w:val="23"/>
          <w:lang w:val="es-MX"/>
        </w:rPr>
        <w:t>í</w:t>
      </w:r>
      <w:r w:rsidR="005A3BA5">
        <w:rPr>
          <w:rFonts w:asciiTheme="minorHAnsi" w:hAnsiTheme="minorHAnsi" w:cstheme="minorHAnsi"/>
          <w:sz w:val="23"/>
          <w:szCs w:val="23"/>
          <w:lang w:val="es-MX"/>
        </w:rPr>
        <w:t>a Interna y Auditor</w:t>
      </w:r>
      <w:r w:rsidR="000372B6">
        <w:rPr>
          <w:rFonts w:asciiTheme="minorHAnsi" w:hAnsiTheme="minorHAnsi" w:cstheme="minorHAnsi"/>
          <w:sz w:val="23"/>
          <w:szCs w:val="23"/>
          <w:lang w:val="es-MX"/>
        </w:rPr>
        <w:t>í</w:t>
      </w:r>
      <w:r w:rsidR="005A3BA5">
        <w:rPr>
          <w:rFonts w:asciiTheme="minorHAnsi" w:hAnsiTheme="minorHAnsi" w:cstheme="minorHAnsi"/>
          <w:sz w:val="23"/>
          <w:szCs w:val="23"/>
          <w:lang w:val="es-MX"/>
        </w:rPr>
        <w:t xml:space="preserve">a Externa. </w:t>
      </w:r>
      <w:r w:rsidR="00292C70">
        <w:rPr>
          <w:rFonts w:asciiTheme="minorHAnsi" w:hAnsiTheme="minorHAnsi" w:cstheme="minorHAnsi"/>
          <w:sz w:val="23"/>
          <w:szCs w:val="23"/>
          <w:lang w:val="es-MX"/>
        </w:rPr>
        <w:t xml:space="preserve">Cabe mencionar que esta información fue recabada por los informes que cada dependencia envía a la Gerencia General. </w:t>
      </w:r>
    </w:p>
    <w:p w:rsidR="002837D1" w:rsidRPr="002837D1" w:rsidRDefault="002837D1" w:rsidP="002837D1">
      <w:pPr>
        <w:pStyle w:val="Prrafodelista"/>
        <w:rPr>
          <w:rFonts w:asciiTheme="minorHAnsi" w:hAnsiTheme="minorHAnsi" w:cstheme="minorHAnsi"/>
          <w:sz w:val="23"/>
          <w:szCs w:val="23"/>
          <w:lang w:val="es-MX"/>
        </w:rPr>
      </w:pPr>
    </w:p>
    <w:p w:rsidR="00FF36CF" w:rsidRDefault="00FF36CF" w:rsidP="00EA567F">
      <w:pPr>
        <w:pStyle w:val="Prrafodelista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PI-07 “</w:t>
      </w:r>
      <w:r w:rsidRPr="0000252F">
        <w:rPr>
          <w:rFonts w:asciiTheme="minorHAnsi" w:hAnsiTheme="minorHAnsi" w:cstheme="minorHAnsi"/>
          <w:i/>
          <w:sz w:val="23"/>
          <w:szCs w:val="23"/>
          <w:lang w:val="es-MX"/>
        </w:rPr>
        <w:t>Lograr un mayor aprovechamiento de bienes propiedad BANHVI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” </w:t>
      </w:r>
      <w:r w:rsidR="00191C8A" w:rsidRPr="000F3A00">
        <w:rPr>
          <w:rFonts w:asciiTheme="minorHAnsi" w:hAnsiTheme="minorHAnsi" w:cstheme="minorHAnsi"/>
          <w:sz w:val="23"/>
          <w:szCs w:val="23"/>
          <w:lang w:val="es-MX"/>
        </w:rPr>
        <w:t>sobrepasó la meta programa</w:t>
      </w:r>
      <w:r w:rsidR="00301AE7">
        <w:rPr>
          <w:rFonts w:asciiTheme="minorHAnsi" w:hAnsiTheme="minorHAnsi" w:cstheme="minorHAnsi"/>
          <w:sz w:val="23"/>
          <w:szCs w:val="23"/>
          <w:lang w:val="es-MX"/>
        </w:rPr>
        <w:t>da</w:t>
      </w:r>
      <w:r w:rsidR="00191C8A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 de </w:t>
      </w:r>
      <w:r w:rsidR="00191C8A">
        <w:rPr>
          <w:rFonts w:asciiTheme="minorHAnsi" w:hAnsiTheme="minorHAnsi" w:cstheme="minorHAnsi"/>
          <w:sz w:val="23"/>
          <w:szCs w:val="23"/>
          <w:lang w:val="es-MX"/>
        </w:rPr>
        <w:t>0.60</w:t>
      </w:r>
      <w:r w:rsidR="00301AE7">
        <w:rPr>
          <w:rFonts w:asciiTheme="minorHAnsi" w:hAnsiTheme="minorHAnsi" w:cstheme="minorHAnsi"/>
          <w:sz w:val="23"/>
          <w:szCs w:val="23"/>
          <w:lang w:val="es-MX"/>
        </w:rPr>
        <w:t>%</w:t>
      </w:r>
      <w:r w:rsidR="00191C8A" w:rsidRPr="000F3A00">
        <w:rPr>
          <w:rFonts w:asciiTheme="minorHAnsi" w:hAnsiTheme="minorHAnsi" w:cstheme="minorHAnsi"/>
          <w:sz w:val="23"/>
          <w:szCs w:val="23"/>
          <w:lang w:val="es-MX"/>
        </w:rPr>
        <w:t xml:space="preserve"> en un </w:t>
      </w:r>
      <w:r w:rsidR="00191C8A">
        <w:rPr>
          <w:rFonts w:asciiTheme="minorHAnsi" w:hAnsiTheme="minorHAnsi" w:cstheme="minorHAnsi"/>
          <w:sz w:val="23"/>
          <w:szCs w:val="23"/>
          <w:lang w:val="es-MX"/>
        </w:rPr>
        <w:t>18</w:t>
      </w:r>
      <w:r w:rsidR="00191C8A" w:rsidRPr="000F3A00">
        <w:rPr>
          <w:rFonts w:asciiTheme="minorHAnsi" w:hAnsiTheme="minorHAnsi" w:cstheme="minorHAnsi"/>
          <w:sz w:val="23"/>
          <w:szCs w:val="23"/>
          <w:lang w:val="es-MX"/>
        </w:rPr>
        <w:t>%</w:t>
      </w:r>
      <w:r w:rsidR="00E5441F">
        <w:rPr>
          <w:rFonts w:asciiTheme="minorHAnsi" w:hAnsiTheme="minorHAnsi" w:cstheme="minorHAnsi"/>
          <w:sz w:val="23"/>
          <w:szCs w:val="23"/>
          <w:lang w:val="es-MX"/>
        </w:rPr>
        <w:t xml:space="preserve"> superando todas las expectativas. Esto debido a </w:t>
      </w:r>
      <w:r w:rsidR="00301AE7">
        <w:rPr>
          <w:rFonts w:asciiTheme="minorHAnsi" w:hAnsiTheme="minorHAnsi" w:cstheme="minorHAnsi"/>
          <w:sz w:val="23"/>
          <w:szCs w:val="23"/>
          <w:lang w:val="es-MX"/>
        </w:rPr>
        <w:t xml:space="preserve">que </w:t>
      </w:r>
      <w:r w:rsidR="00E5441F">
        <w:rPr>
          <w:rFonts w:asciiTheme="minorHAnsi" w:hAnsiTheme="minorHAnsi" w:cstheme="minorHAnsi"/>
          <w:sz w:val="23"/>
          <w:szCs w:val="23"/>
          <w:lang w:val="es-MX"/>
        </w:rPr>
        <w:t xml:space="preserve">los bienes </w:t>
      </w:r>
      <w:r w:rsidR="00B25390">
        <w:rPr>
          <w:rFonts w:asciiTheme="minorHAnsi" w:hAnsiTheme="minorHAnsi" w:cstheme="minorHAnsi"/>
          <w:sz w:val="23"/>
          <w:szCs w:val="23"/>
          <w:lang w:val="es-MX"/>
        </w:rPr>
        <w:t>FOSUVI fueron aprovechados 86 en proyectos de vivienda y los 10 restantes fueron vendidos, trasla</w:t>
      </w:r>
      <w:r w:rsidR="00301AE7">
        <w:rPr>
          <w:rFonts w:asciiTheme="minorHAnsi" w:hAnsiTheme="minorHAnsi" w:cstheme="minorHAnsi"/>
          <w:sz w:val="23"/>
          <w:szCs w:val="23"/>
          <w:lang w:val="es-MX"/>
        </w:rPr>
        <w:t>da</w:t>
      </w:r>
      <w:r w:rsidR="00B25390">
        <w:rPr>
          <w:rFonts w:asciiTheme="minorHAnsi" w:hAnsiTheme="minorHAnsi" w:cstheme="minorHAnsi"/>
          <w:sz w:val="23"/>
          <w:szCs w:val="23"/>
          <w:lang w:val="es-MX"/>
        </w:rPr>
        <w:t xml:space="preserve">dos o donados a sus respectivas municipalidades. </w:t>
      </w:r>
    </w:p>
    <w:p w:rsidR="00B25390" w:rsidRPr="00B25390" w:rsidRDefault="00B25390" w:rsidP="00B25390">
      <w:pPr>
        <w:pStyle w:val="Prrafodelista"/>
        <w:rPr>
          <w:rFonts w:asciiTheme="minorHAnsi" w:hAnsiTheme="minorHAnsi" w:cstheme="minorHAnsi"/>
          <w:sz w:val="23"/>
          <w:szCs w:val="23"/>
          <w:lang w:val="es-MX"/>
        </w:rPr>
      </w:pPr>
    </w:p>
    <w:p w:rsidR="00B25390" w:rsidRDefault="00B25390" w:rsidP="00EA567F">
      <w:pPr>
        <w:pStyle w:val="Prrafodelista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PI-08 “</w:t>
      </w:r>
      <w:r w:rsidR="001615ED" w:rsidRPr="001615ED">
        <w:rPr>
          <w:rFonts w:asciiTheme="minorHAnsi" w:hAnsiTheme="minorHAnsi" w:cstheme="minorHAnsi"/>
          <w:i/>
          <w:sz w:val="23"/>
          <w:szCs w:val="23"/>
          <w:lang w:val="es-MX"/>
        </w:rPr>
        <w:t>Lograr un mayor aprovechamiento de bienes en fideicomiso</w:t>
      </w:r>
      <w:r w:rsidR="001615ED">
        <w:rPr>
          <w:rFonts w:asciiTheme="minorHAnsi" w:hAnsiTheme="minorHAnsi" w:cstheme="minorHAnsi"/>
          <w:sz w:val="23"/>
          <w:szCs w:val="23"/>
          <w:lang w:val="es-MX"/>
        </w:rPr>
        <w:t xml:space="preserve">” obtuvo un cumplimiento del 0%. Durante el periodo 2016 el Proyecto Don </w:t>
      </w:r>
      <w:r w:rsidR="00F25E65">
        <w:rPr>
          <w:rFonts w:asciiTheme="minorHAnsi" w:hAnsiTheme="minorHAnsi" w:cstheme="minorHAnsi"/>
          <w:sz w:val="23"/>
          <w:szCs w:val="23"/>
          <w:lang w:val="es-MX"/>
        </w:rPr>
        <w:t>Á</w:t>
      </w:r>
      <w:r w:rsidR="001615ED">
        <w:rPr>
          <w:rFonts w:asciiTheme="minorHAnsi" w:hAnsiTheme="minorHAnsi" w:cstheme="minorHAnsi"/>
          <w:sz w:val="23"/>
          <w:szCs w:val="23"/>
          <w:lang w:val="es-MX"/>
        </w:rPr>
        <w:t xml:space="preserve">lvaro era el inmueble a recuperar; sin embargo, la venta o colocación del inmueble no se llevó a cabo por la </w:t>
      </w:r>
      <w:r w:rsidR="001B4443">
        <w:rPr>
          <w:rFonts w:asciiTheme="minorHAnsi" w:hAnsiTheme="minorHAnsi" w:cstheme="minorHAnsi"/>
          <w:sz w:val="23"/>
          <w:szCs w:val="23"/>
          <w:lang w:val="es-MX"/>
        </w:rPr>
        <w:lastRenderedPageBreak/>
        <w:t xml:space="preserve">invasión </w:t>
      </w:r>
      <w:r w:rsidR="00F25E65">
        <w:rPr>
          <w:rFonts w:asciiTheme="minorHAnsi" w:hAnsiTheme="minorHAnsi" w:cstheme="minorHAnsi"/>
          <w:sz w:val="23"/>
          <w:szCs w:val="23"/>
          <w:lang w:val="es-MX"/>
        </w:rPr>
        <w:t xml:space="preserve">de </w:t>
      </w:r>
      <w:r w:rsidR="00CC074C">
        <w:rPr>
          <w:rFonts w:asciiTheme="minorHAnsi" w:hAnsiTheme="minorHAnsi" w:cstheme="minorHAnsi"/>
          <w:sz w:val="23"/>
          <w:szCs w:val="23"/>
          <w:lang w:val="es-MX"/>
        </w:rPr>
        <w:t>9 vecinos colindantes. Grupo Mutual</w:t>
      </w:r>
      <w:r w:rsidR="00F25E65">
        <w:rPr>
          <w:rFonts w:asciiTheme="minorHAnsi" w:hAnsiTheme="minorHAnsi" w:cstheme="minorHAnsi"/>
          <w:sz w:val="23"/>
          <w:szCs w:val="23"/>
          <w:lang w:val="es-MX"/>
        </w:rPr>
        <w:t>,</w:t>
      </w:r>
      <w:r w:rsidR="00CC074C">
        <w:rPr>
          <w:rFonts w:asciiTheme="minorHAnsi" w:hAnsiTheme="minorHAnsi" w:cstheme="minorHAnsi"/>
          <w:sz w:val="23"/>
          <w:szCs w:val="23"/>
          <w:lang w:val="es-MX"/>
        </w:rPr>
        <w:t xml:space="preserve"> ente fiduciario</w:t>
      </w:r>
      <w:r w:rsidR="00F25E65">
        <w:rPr>
          <w:rFonts w:asciiTheme="minorHAnsi" w:hAnsiTheme="minorHAnsi" w:cstheme="minorHAnsi"/>
          <w:sz w:val="23"/>
          <w:szCs w:val="23"/>
          <w:lang w:val="es-MX"/>
        </w:rPr>
        <w:t>,</w:t>
      </w:r>
      <w:r w:rsidR="00CC074C">
        <w:rPr>
          <w:rFonts w:asciiTheme="minorHAnsi" w:hAnsiTheme="minorHAnsi" w:cstheme="minorHAnsi"/>
          <w:sz w:val="23"/>
          <w:szCs w:val="23"/>
          <w:lang w:val="es-MX"/>
        </w:rPr>
        <w:t xml:space="preserve"> ha realizado</w:t>
      </w:r>
      <w:r w:rsidR="00F25E65">
        <w:rPr>
          <w:rFonts w:asciiTheme="minorHAnsi" w:hAnsiTheme="minorHAnsi" w:cstheme="minorHAnsi"/>
          <w:sz w:val="23"/>
          <w:szCs w:val="23"/>
          <w:lang w:val="es-MX"/>
        </w:rPr>
        <w:t xml:space="preserve"> varias gestiones de desalojo</w:t>
      </w:r>
      <w:r w:rsidR="00CC074C">
        <w:rPr>
          <w:rFonts w:asciiTheme="minorHAnsi" w:hAnsiTheme="minorHAnsi" w:cstheme="minorHAnsi"/>
          <w:sz w:val="23"/>
          <w:szCs w:val="23"/>
          <w:lang w:val="es-MX"/>
        </w:rPr>
        <w:t xml:space="preserve"> sin resultados positivos. </w:t>
      </w:r>
      <w:r w:rsidR="00CE79D9">
        <w:rPr>
          <w:rFonts w:asciiTheme="minorHAnsi" w:hAnsiTheme="minorHAnsi" w:cstheme="minorHAnsi"/>
          <w:sz w:val="23"/>
          <w:szCs w:val="23"/>
          <w:lang w:val="es-MX"/>
        </w:rPr>
        <w:t xml:space="preserve">Como acción de mejora la dependencia </w:t>
      </w:r>
      <w:r w:rsidR="004C11BB">
        <w:rPr>
          <w:rFonts w:asciiTheme="minorHAnsi" w:hAnsiTheme="minorHAnsi" w:cstheme="minorHAnsi"/>
          <w:sz w:val="23"/>
          <w:szCs w:val="23"/>
          <w:lang w:val="es-MX"/>
        </w:rPr>
        <w:t xml:space="preserve">propone cronograma con posibles fechas de cumplimiento. </w:t>
      </w:r>
    </w:p>
    <w:p w:rsidR="00CC074C" w:rsidRPr="00CC074C" w:rsidRDefault="00CC074C" w:rsidP="00CC074C">
      <w:pPr>
        <w:pStyle w:val="Prrafodelista"/>
        <w:rPr>
          <w:rFonts w:asciiTheme="minorHAnsi" w:hAnsiTheme="minorHAnsi" w:cstheme="minorHAnsi"/>
          <w:sz w:val="23"/>
          <w:szCs w:val="23"/>
          <w:lang w:val="es-MX"/>
        </w:rPr>
      </w:pPr>
    </w:p>
    <w:p w:rsidR="00CC074C" w:rsidRDefault="00117F19" w:rsidP="00EA567F">
      <w:pPr>
        <w:pStyle w:val="Prrafodelista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PI-09 “</w:t>
      </w:r>
      <w:r w:rsidRPr="00117F19">
        <w:rPr>
          <w:rFonts w:asciiTheme="minorHAnsi" w:hAnsiTheme="minorHAnsi" w:cstheme="minorHAnsi"/>
          <w:i/>
          <w:sz w:val="23"/>
          <w:szCs w:val="23"/>
          <w:lang w:val="es-MX"/>
        </w:rPr>
        <w:t>Mejorar el ordenamiento administrativo</w:t>
      </w:r>
      <w:r w:rsidR="00F25E65">
        <w:rPr>
          <w:rFonts w:asciiTheme="minorHAnsi" w:hAnsiTheme="minorHAnsi" w:cstheme="minorHAnsi"/>
          <w:sz w:val="23"/>
          <w:szCs w:val="23"/>
          <w:lang w:val="es-MX"/>
        </w:rPr>
        <w:t xml:space="preserve">” obtuvo un cumplimiento del 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12%, sobrepasando la meta de un 10%. Durante el periodo 2016 se cumplió con la elaboración del Plan de trabajo, entrega </w:t>
      </w:r>
      <w:r w:rsidR="00803EB5">
        <w:rPr>
          <w:rFonts w:asciiTheme="minorHAnsi" w:hAnsiTheme="minorHAnsi" w:cstheme="minorHAnsi"/>
          <w:sz w:val="23"/>
          <w:szCs w:val="23"/>
          <w:lang w:val="es-MX"/>
        </w:rPr>
        <w:t>de un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diagnóstico </w:t>
      </w:r>
      <w:r w:rsidR="00803EB5">
        <w:rPr>
          <w:rFonts w:asciiTheme="minorHAnsi" w:hAnsiTheme="minorHAnsi" w:cstheme="minorHAnsi"/>
          <w:sz w:val="23"/>
          <w:szCs w:val="23"/>
          <w:lang w:val="es-MX"/>
        </w:rPr>
        <w:t xml:space="preserve">y se formuló y propuso la </w:t>
      </w:r>
      <w:r w:rsidR="00F91642">
        <w:rPr>
          <w:rFonts w:asciiTheme="minorHAnsi" w:hAnsiTheme="minorHAnsi" w:cstheme="minorHAnsi"/>
          <w:sz w:val="23"/>
          <w:szCs w:val="23"/>
          <w:lang w:val="es-MX"/>
        </w:rPr>
        <w:t>estrategia y la metodología para</w:t>
      </w:r>
      <w:r w:rsidR="00036100">
        <w:rPr>
          <w:rFonts w:asciiTheme="minorHAnsi" w:hAnsiTheme="minorHAnsi" w:cstheme="minorHAnsi"/>
          <w:sz w:val="23"/>
          <w:szCs w:val="23"/>
          <w:lang w:val="es-MX"/>
        </w:rPr>
        <w:t xml:space="preserve"> llevar a cabo el proyecto </w:t>
      </w:r>
      <w:r w:rsidR="00F91642">
        <w:rPr>
          <w:rFonts w:asciiTheme="minorHAnsi" w:hAnsiTheme="minorHAnsi" w:cstheme="minorHAnsi"/>
          <w:sz w:val="23"/>
          <w:szCs w:val="23"/>
          <w:lang w:val="es-MX"/>
        </w:rPr>
        <w:t>Institucional Implementación de la Gestión por Procesos en el BANHVI</w:t>
      </w:r>
      <w:r w:rsidR="00036100">
        <w:rPr>
          <w:rFonts w:asciiTheme="minorHAnsi" w:hAnsiTheme="minorHAnsi" w:cstheme="minorHAnsi"/>
          <w:sz w:val="23"/>
          <w:szCs w:val="23"/>
          <w:lang w:val="es-MX"/>
        </w:rPr>
        <w:t xml:space="preserve">. </w:t>
      </w:r>
    </w:p>
    <w:p w:rsidR="00E67430" w:rsidRPr="00E67430" w:rsidRDefault="00E67430" w:rsidP="00E67430">
      <w:pPr>
        <w:pStyle w:val="Prrafodelista"/>
        <w:rPr>
          <w:rFonts w:asciiTheme="minorHAnsi" w:hAnsiTheme="minorHAnsi" w:cstheme="minorHAnsi"/>
          <w:sz w:val="23"/>
          <w:szCs w:val="23"/>
          <w:lang w:val="es-MX"/>
        </w:rPr>
      </w:pPr>
    </w:p>
    <w:p w:rsidR="00E67430" w:rsidRPr="00EA567F" w:rsidRDefault="00C046AA" w:rsidP="00EA567F">
      <w:pPr>
        <w:pStyle w:val="Prrafodelista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PI-10 “</w:t>
      </w:r>
      <w:r w:rsidRPr="00C046AA">
        <w:rPr>
          <w:rFonts w:asciiTheme="minorHAnsi" w:hAnsiTheme="minorHAnsi" w:cstheme="minorHAnsi"/>
          <w:i/>
          <w:sz w:val="23"/>
          <w:szCs w:val="23"/>
          <w:lang w:val="es-MX"/>
        </w:rPr>
        <w:t>Simplificar los trámites en el BANHVI y Entidades Autorizadas en lo relacionado al proceso de aprobación de bonos familiares de vivienda y bonos comunales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” </w:t>
      </w:r>
      <w:r w:rsidR="00D426AC">
        <w:rPr>
          <w:rFonts w:asciiTheme="minorHAnsi" w:hAnsiTheme="minorHAnsi" w:cstheme="minorHAnsi"/>
          <w:sz w:val="23"/>
          <w:szCs w:val="23"/>
          <w:lang w:val="es-MX"/>
        </w:rPr>
        <w:t xml:space="preserve">obtuvo una calificación del 100%, se cumplió con el trámite establecido por el MIVAH denominado “Revisión integral de los requisitos de proyectos habitacionales financiados al amparo del </w:t>
      </w:r>
      <w:r w:rsidR="005743DD">
        <w:rPr>
          <w:rFonts w:asciiTheme="minorHAnsi" w:hAnsiTheme="minorHAnsi" w:cstheme="minorHAnsi"/>
          <w:sz w:val="23"/>
          <w:szCs w:val="23"/>
          <w:lang w:val="es-MX"/>
        </w:rPr>
        <w:t>artículo</w:t>
      </w:r>
      <w:r w:rsidR="00D426AC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5743DD">
        <w:rPr>
          <w:rFonts w:asciiTheme="minorHAnsi" w:hAnsiTheme="minorHAnsi" w:cstheme="minorHAnsi"/>
          <w:sz w:val="23"/>
          <w:szCs w:val="23"/>
          <w:lang w:val="es-MX"/>
        </w:rPr>
        <w:t xml:space="preserve">59 (modalidades S-001 y S-002)”. </w:t>
      </w:r>
    </w:p>
    <w:p w:rsidR="00452C15" w:rsidRDefault="00452C15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10457A" w:rsidRPr="00506CF3" w:rsidRDefault="00751215" w:rsidP="0010457A">
      <w:pPr>
        <w:pStyle w:val="Textoindependiente"/>
        <w:numPr>
          <w:ilvl w:val="1"/>
          <w:numId w:val="1"/>
        </w:numPr>
        <w:rPr>
          <w:rFonts w:asciiTheme="minorHAnsi" w:hAnsiTheme="minorHAnsi" w:cstheme="minorHAnsi"/>
          <w:b/>
          <w:smallCaps/>
          <w:sz w:val="26"/>
          <w:szCs w:val="26"/>
          <w:lang w:val="es-CR"/>
        </w:rPr>
      </w:pPr>
      <w:r>
        <w:rPr>
          <w:rFonts w:asciiTheme="minorHAnsi" w:hAnsiTheme="minorHAnsi" w:cstheme="minorHAnsi"/>
          <w:b/>
          <w:smallCaps/>
          <w:sz w:val="26"/>
          <w:szCs w:val="26"/>
          <w:lang w:val="es-CR"/>
        </w:rPr>
        <w:t xml:space="preserve"> </w:t>
      </w:r>
      <w:r w:rsidR="00AE7CC0">
        <w:rPr>
          <w:rFonts w:asciiTheme="minorHAnsi" w:hAnsiTheme="minorHAnsi" w:cstheme="minorHAnsi"/>
          <w:b/>
          <w:smallCaps/>
          <w:sz w:val="26"/>
          <w:szCs w:val="26"/>
          <w:lang w:val="es-CR"/>
        </w:rPr>
        <w:t xml:space="preserve">Perspectiva Grupo de interés </w:t>
      </w:r>
    </w:p>
    <w:p w:rsidR="0010457A" w:rsidRPr="002D005F" w:rsidRDefault="0010457A" w:rsidP="0010457A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 w:rsidRPr="002D005F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</w:p>
    <w:p w:rsidR="0010457A" w:rsidRDefault="0010457A" w:rsidP="0010457A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L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>a calificaci</w:t>
      </w:r>
      <w:r>
        <w:rPr>
          <w:rFonts w:asciiTheme="minorHAnsi" w:hAnsiTheme="minorHAnsi" w:cstheme="minorHAnsi"/>
          <w:sz w:val="23"/>
          <w:szCs w:val="23"/>
          <w:lang w:val="es-MX"/>
        </w:rPr>
        <w:t>ón obtenida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 de esta 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perspectiva 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fue de un </w:t>
      </w:r>
      <w:r w:rsidR="00AE7CC0">
        <w:rPr>
          <w:rFonts w:asciiTheme="minorHAnsi" w:hAnsiTheme="minorHAnsi" w:cstheme="minorHAnsi"/>
          <w:sz w:val="23"/>
          <w:szCs w:val="23"/>
          <w:lang w:val="es-MX"/>
        </w:rPr>
        <w:t>47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%, 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el cual está 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conformado por </w:t>
      </w:r>
      <w:r w:rsidR="00AE7CC0">
        <w:rPr>
          <w:rFonts w:asciiTheme="minorHAnsi" w:hAnsiTheme="minorHAnsi" w:cstheme="minorHAnsi"/>
          <w:sz w:val="23"/>
          <w:szCs w:val="23"/>
          <w:lang w:val="es-MX"/>
        </w:rPr>
        <w:t>2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 objetivos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de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 los cuales su </w:t>
      </w:r>
      <w:r>
        <w:rPr>
          <w:rFonts w:asciiTheme="minorHAnsi" w:hAnsiTheme="minorHAnsi" w:cstheme="minorHAnsi"/>
          <w:sz w:val="23"/>
          <w:szCs w:val="23"/>
          <w:lang w:val="es-MX"/>
        </w:rPr>
        <w:t>cumplimiento</w:t>
      </w:r>
      <w:r w:rsidR="00F91642">
        <w:rPr>
          <w:rFonts w:asciiTheme="minorHAnsi" w:hAnsiTheme="minorHAnsi" w:cstheme="minorHAnsi"/>
          <w:sz w:val="23"/>
          <w:szCs w:val="23"/>
          <w:lang w:val="es-MX"/>
        </w:rPr>
        <w:t xml:space="preserve"> se presenta en el siguiente cuadro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: </w:t>
      </w:r>
    </w:p>
    <w:p w:rsidR="00553B49" w:rsidRPr="00751215" w:rsidRDefault="00553B49" w:rsidP="0010457A">
      <w:pPr>
        <w:spacing w:line="360" w:lineRule="auto"/>
        <w:jc w:val="both"/>
        <w:rPr>
          <w:rFonts w:asciiTheme="minorHAnsi" w:hAnsiTheme="minorHAnsi" w:cstheme="minorHAnsi"/>
          <w:sz w:val="14"/>
          <w:szCs w:val="14"/>
          <w:lang w:val="es-MX"/>
        </w:rPr>
      </w:pPr>
    </w:p>
    <w:p w:rsidR="000951A7" w:rsidRPr="00EA0B84" w:rsidRDefault="000951A7" w:rsidP="000951A7">
      <w:pPr>
        <w:jc w:val="center"/>
        <w:rPr>
          <w:rFonts w:asciiTheme="minorHAnsi" w:hAnsiTheme="minorHAnsi" w:cstheme="minorHAnsi"/>
          <w:b/>
          <w:smallCaps/>
          <w:sz w:val="22"/>
          <w:szCs w:val="23"/>
          <w:lang w:val="es-MX"/>
        </w:rPr>
      </w:pPr>
      <w:r>
        <w:rPr>
          <w:rFonts w:asciiTheme="minorHAnsi" w:hAnsiTheme="minorHAnsi" w:cstheme="minorHAnsi"/>
          <w:b/>
          <w:smallCaps/>
          <w:sz w:val="22"/>
          <w:szCs w:val="23"/>
          <w:lang w:val="es-MX"/>
        </w:rPr>
        <w:t>Cuadro 5</w:t>
      </w:r>
    </w:p>
    <w:p w:rsidR="000951A7" w:rsidRDefault="000951A7" w:rsidP="000951A7">
      <w:pPr>
        <w:jc w:val="center"/>
        <w:rPr>
          <w:rFonts w:asciiTheme="minorHAnsi" w:hAnsiTheme="minorHAnsi" w:cstheme="minorHAnsi"/>
          <w:b/>
          <w:smallCaps/>
          <w:sz w:val="22"/>
          <w:szCs w:val="23"/>
          <w:lang w:val="es-MX"/>
        </w:rPr>
      </w:pPr>
      <w:r w:rsidRPr="00EA0B84">
        <w:rPr>
          <w:rFonts w:asciiTheme="minorHAnsi" w:hAnsiTheme="minorHAnsi" w:cstheme="minorHAnsi"/>
          <w:b/>
          <w:smallCaps/>
          <w:sz w:val="22"/>
          <w:szCs w:val="23"/>
          <w:lang w:val="es-MX"/>
        </w:rPr>
        <w:t>Composición de la Perspectiva</w:t>
      </w:r>
    </w:p>
    <w:p w:rsidR="00E820F5" w:rsidRPr="00751215" w:rsidRDefault="00E820F5" w:rsidP="00217EF4">
      <w:pPr>
        <w:spacing w:line="360" w:lineRule="auto"/>
        <w:jc w:val="both"/>
        <w:rPr>
          <w:rFonts w:asciiTheme="minorHAnsi" w:hAnsiTheme="minorHAnsi" w:cstheme="minorHAnsi"/>
          <w:sz w:val="14"/>
          <w:szCs w:val="14"/>
          <w:lang w:val="es-MX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074"/>
        <w:gridCol w:w="2202"/>
        <w:gridCol w:w="1114"/>
        <w:gridCol w:w="1336"/>
        <w:gridCol w:w="1179"/>
        <w:gridCol w:w="1356"/>
      </w:tblGrid>
      <w:tr w:rsidR="00D1553C" w:rsidRPr="000951A7" w:rsidTr="00D1553C">
        <w:trPr>
          <w:trHeight w:val="269"/>
          <w:jc w:val="center"/>
        </w:trPr>
        <w:tc>
          <w:tcPr>
            <w:tcW w:w="2785" w:type="dxa"/>
            <w:gridSpan w:val="2"/>
            <w:vMerge w:val="restart"/>
            <w:shd w:val="clear" w:color="000000" w:fill="B8CCE4"/>
            <w:vAlign w:val="center"/>
            <w:hideMark/>
          </w:tcPr>
          <w:p w:rsidR="00D1553C" w:rsidRPr="000951A7" w:rsidRDefault="00D1553C" w:rsidP="000951A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  <w:r w:rsidRPr="000951A7"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  <w:t>O</w:t>
            </w:r>
            <w:r w:rsidR="00553B49"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  <w:t>bjetivo Estratégico</w:t>
            </w:r>
          </w:p>
        </w:tc>
        <w:tc>
          <w:tcPr>
            <w:tcW w:w="2212" w:type="dxa"/>
            <w:vMerge w:val="restart"/>
            <w:shd w:val="clear" w:color="000000" w:fill="B8CCE4"/>
            <w:vAlign w:val="center"/>
            <w:hideMark/>
          </w:tcPr>
          <w:p w:rsidR="00D1553C" w:rsidRPr="000951A7" w:rsidRDefault="00D1553C" w:rsidP="000951A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  <w:r w:rsidRPr="000951A7"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  <w:t>Indicador</w:t>
            </w:r>
          </w:p>
        </w:tc>
        <w:tc>
          <w:tcPr>
            <w:tcW w:w="1119" w:type="dxa"/>
            <w:vMerge w:val="restart"/>
            <w:shd w:val="clear" w:color="000000" w:fill="B8CCE4"/>
            <w:vAlign w:val="center"/>
            <w:hideMark/>
          </w:tcPr>
          <w:p w:rsidR="00D1553C" w:rsidRPr="000951A7" w:rsidRDefault="00D1553C" w:rsidP="000951A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  <w:r w:rsidRPr="000951A7"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  <w:t>Meta 2016</w:t>
            </w:r>
          </w:p>
        </w:tc>
        <w:tc>
          <w:tcPr>
            <w:tcW w:w="1339" w:type="dxa"/>
            <w:vMerge w:val="restart"/>
            <w:shd w:val="clear" w:color="000000" w:fill="B8CCE4"/>
            <w:vAlign w:val="center"/>
            <w:hideMark/>
          </w:tcPr>
          <w:p w:rsidR="00D1553C" w:rsidRPr="000951A7" w:rsidRDefault="00D1553C" w:rsidP="00553B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  <w:r w:rsidRPr="000951A7"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  <w:t xml:space="preserve">Resultado </w:t>
            </w:r>
          </w:p>
        </w:tc>
        <w:tc>
          <w:tcPr>
            <w:tcW w:w="1150" w:type="dxa"/>
            <w:vMerge w:val="restart"/>
            <w:shd w:val="clear" w:color="000000" w:fill="B8CCE4"/>
            <w:vAlign w:val="center"/>
            <w:hideMark/>
          </w:tcPr>
          <w:p w:rsidR="00D1553C" w:rsidRPr="000951A7" w:rsidRDefault="00D1553C" w:rsidP="000951A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  <w:r w:rsidRPr="000951A7"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  <w:t xml:space="preserve">Puntuación </w:t>
            </w:r>
          </w:p>
        </w:tc>
        <w:tc>
          <w:tcPr>
            <w:tcW w:w="1357" w:type="dxa"/>
            <w:vMerge w:val="restart"/>
            <w:shd w:val="clear" w:color="000000" w:fill="B8CCE4"/>
            <w:vAlign w:val="center"/>
            <w:hideMark/>
          </w:tcPr>
          <w:p w:rsidR="00D1553C" w:rsidRPr="000951A7" w:rsidRDefault="00D1553C" w:rsidP="000951A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  <w:r w:rsidRPr="000951A7"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  <w:t>Ponderación de OE</w:t>
            </w:r>
          </w:p>
        </w:tc>
      </w:tr>
      <w:tr w:rsidR="00D1553C" w:rsidRPr="000951A7" w:rsidTr="00D1553C">
        <w:trPr>
          <w:trHeight w:val="269"/>
          <w:jc w:val="center"/>
        </w:trPr>
        <w:tc>
          <w:tcPr>
            <w:tcW w:w="2785" w:type="dxa"/>
            <w:gridSpan w:val="2"/>
            <w:vMerge/>
            <w:vAlign w:val="center"/>
            <w:hideMark/>
          </w:tcPr>
          <w:p w:rsidR="00D1553C" w:rsidRPr="000951A7" w:rsidRDefault="00D1553C" w:rsidP="000951A7">
            <w:pPr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2212" w:type="dxa"/>
            <w:vMerge/>
            <w:vAlign w:val="center"/>
            <w:hideMark/>
          </w:tcPr>
          <w:p w:rsidR="00D1553C" w:rsidRPr="000951A7" w:rsidRDefault="00D1553C" w:rsidP="000951A7">
            <w:pPr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D1553C" w:rsidRPr="000951A7" w:rsidRDefault="00D1553C" w:rsidP="000951A7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D1553C" w:rsidRPr="000951A7" w:rsidRDefault="00D1553C" w:rsidP="000951A7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:rsidR="00D1553C" w:rsidRPr="000951A7" w:rsidRDefault="00D1553C" w:rsidP="000951A7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D1553C" w:rsidRPr="000951A7" w:rsidRDefault="00D1553C" w:rsidP="000951A7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</w:tr>
      <w:tr w:rsidR="00D1553C" w:rsidRPr="000951A7" w:rsidTr="00751215">
        <w:trPr>
          <w:trHeight w:val="776"/>
          <w:jc w:val="center"/>
        </w:trPr>
        <w:tc>
          <w:tcPr>
            <w:tcW w:w="703" w:type="dxa"/>
            <w:shd w:val="clear" w:color="000000" w:fill="FFFFFF"/>
            <w:hideMark/>
          </w:tcPr>
          <w:p w:rsidR="00D1553C" w:rsidRPr="000951A7" w:rsidRDefault="00D1553C" w:rsidP="00D1553C">
            <w:pPr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  <w:t>G-01</w:t>
            </w:r>
          </w:p>
        </w:tc>
        <w:tc>
          <w:tcPr>
            <w:tcW w:w="2082" w:type="dxa"/>
            <w:shd w:val="clear" w:color="000000" w:fill="FFFFFF"/>
            <w:hideMark/>
          </w:tcPr>
          <w:p w:rsidR="00D1553C" w:rsidRPr="000951A7" w:rsidRDefault="00D1553C" w:rsidP="00D1553C">
            <w:pPr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0951A7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Mejorar el grado de satisfacción de los beneficiarios finales</w:t>
            </w:r>
          </w:p>
        </w:tc>
        <w:tc>
          <w:tcPr>
            <w:tcW w:w="2212" w:type="dxa"/>
            <w:shd w:val="clear" w:color="000000" w:fill="FFFFFF"/>
            <w:hideMark/>
          </w:tcPr>
          <w:p w:rsidR="00D1553C" w:rsidRPr="000951A7" w:rsidRDefault="00D1553C" w:rsidP="00553B4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0951A7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Resultado de encuesta de satisfacción de los beneficiarios finales</w:t>
            </w:r>
          </w:p>
        </w:tc>
        <w:tc>
          <w:tcPr>
            <w:tcW w:w="1119" w:type="dxa"/>
            <w:shd w:val="clear" w:color="auto" w:fill="auto"/>
            <w:hideMark/>
          </w:tcPr>
          <w:p w:rsidR="00D1553C" w:rsidRPr="000951A7" w:rsidRDefault="00A04EC0" w:rsidP="00D1553C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95</w:t>
            </w:r>
            <w:r w:rsidR="00D1553C" w:rsidRPr="000951A7">
              <w:rPr>
                <w:rFonts w:ascii="Calibri" w:hAnsi="Calibri"/>
                <w:sz w:val="20"/>
                <w:szCs w:val="20"/>
                <w:lang w:val="es-CR" w:eastAsia="es-CR"/>
              </w:rPr>
              <w:t>%</w:t>
            </w:r>
          </w:p>
        </w:tc>
        <w:tc>
          <w:tcPr>
            <w:tcW w:w="1339" w:type="dxa"/>
            <w:shd w:val="clear" w:color="auto" w:fill="auto"/>
            <w:hideMark/>
          </w:tcPr>
          <w:p w:rsidR="00D1553C" w:rsidRPr="000951A7" w:rsidRDefault="00A04EC0" w:rsidP="00D1553C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0</w:t>
            </w:r>
            <w:r w:rsidR="00D1553C" w:rsidRPr="000951A7">
              <w:rPr>
                <w:rFonts w:ascii="Calibri" w:hAnsi="Calibri"/>
                <w:sz w:val="20"/>
                <w:szCs w:val="20"/>
                <w:lang w:val="es-CR" w:eastAsia="es-CR"/>
              </w:rPr>
              <w:t>%</w:t>
            </w:r>
          </w:p>
        </w:tc>
        <w:tc>
          <w:tcPr>
            <w:tcW w:w="1150" w:type="dxa"/>
            <w:shd w:val="clear" w:color="000000" w:fill="FF0000"/>
            <w:hideMark/>
          </w:tcPr>
          <w:p w:rsidR="00D1553C" w:rsidRPr="000951A7" w:rsidRDefault="00A04EC0" w:rsidP="00D1553C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0</w:t>
            </w:r>
            <w:r w:rsidR="00D1553C" w:rsidRPr="000951A7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%</w:t>
            </w:r>
          </w:p>
        </w:tc>
        <w:tc>
          <w:tcPr>
            <w:tcW w:w="1357" w:type="dxa"/>
            <w:shd w:val="clear" w:color="auto" w:fill="FF0000"/>
            <w:hideMark/>
          </w:tcPr>
          <w:p w:rsidR="00D1553C" w:rsidRPr="000951A7" w:rsidRDefault="00D1553C" w:rsidP="00D1553C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 w:rsidRPr="00D1553C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0%</w:t>
            </w:r>
          </w:p>
        </w:tc>
      </w:tr>
      <w:tr w:rsidR="00D1553C" w:rsidRPr="000951A7" w:rsidTr="00B43761">
        <w:trPr>
          <w:trHeight w:val="915"/>
          <w:jc w:val="center"/>
        </w:trPr>
        <w:tc>
          <w:tcPr>
            <w:tcW w:w="703" w:type="dxa"/>
            <w:shd w:val="clear" w:color="000000" w:fill="FFFFFF"/>
            <w:hideMark/>
          </w:tcPr>
          <w:p w:rsidR="00D1553C" w:rsidRPr="000951A7" w:rsidRDefault="00D1553C" w:rsidP="00D1553C">
            <w:pPr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  <w:t>G-02</w:t>
            </w:r>
          </w:p>
        </w:tc>
        <w:tc>
          <w:tcPr>
            <w:tcW w:w="2082" w:type="dxa"/>
            <w:shd w:val="clear" w:color="000000" w:fill="FFFFFF"/>
            <w:hideMark/>
          </w:tcPr>
          <w:p w:rsidR="00D1553C" w:rsidRPr="000951A7" w:rsidRDefault="00D1553C" w:rsidP="00D1553C">
            <w:pPr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0951A7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Mejorar la percepción del BANHVI ante las entidades autorizadas</w:t>
            </w:r>
          </w:p>
        </w:tc>
        <w:tc>
          <w:tcPr>
            <w:tcW w:w="2212" w:type="dxa"/>
            <w:shd w:val="clear" w:color="000000" w:fill="FFFFFF"/>
            <w:hideMark/>
          </w:tcPr>
          <w:p w:rsidR="00D1553C" w:rsidRPr="000951A7" w:rsidRDefault="00D1553C" w:rsidP="00553B4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0951A7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Porcentaje de entidades autorizadas que califican al BANHVI con nota mayor a 75%</w:t>
            </w:r>
          </w:p>
        </w:tc>
        <w:tc>
          <w:tcPr>
            <w:tcW w:w="1119" w:type="dxa"/>
            <w:shd w:val="clear" w:color="auto" w:fill="auto"/>
            <w:hideMark/>
          </w:tcPr>
          <w:p w:rsidR="00D1553C" w:rsidRPr="000951A7" w:rsidRDefault="00A04EC0" w:rsidP="00D1553C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60</w:t>
            </w:r>
            <w:r w:rsidR="00D1553C" w:rsidRPr="000951A7">
              <w:rPr>
                <w:rFonts w:ascii="Calibri" w:hAnsi="Calibri"/>
                <w:sz w:val="20"/>
                <w:szCs w:val="20"/>
                <w:lang w:val="es-CR" w:eastAsia="es-CR"/>
              </w:rPr>
              <w:t>%</w:t>
            </w:r>
          </w:p>
        </w:tc>
        <w:tc>
          <w:tcPr>
            <w:tcW w:w="1339" w:type="dxa"/>
            <w:shd w:val="clear" w:color="auto" w:fill="auto"/>
            <w:hideMark/>
          </w:tcPr>
          <w:p w:rsidR="00D1553C" w:rsidRPr="000951A7" w:rsidRDefault="00A04EC0" w:rsidP="00D1553C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56</w:t>
            </w:r>
            <w:r w:rsidR="00D1553C" w:rsidRPr="000951A7">
              <w:rPr>
                <w:rFonts w:ascii="Calibri" w:hAnsi="Calibri"/>
                <w:sz w:val="20"/>
                <w:szCs w:val="20"/>
                <w:lang w:val="es-CR" w:eastAsia="es-CR"/>
              </w:rPr>
              <w:t>%</w:t>
            </w:r>
          </w:p>
        </w:tc>
        <w:tc>
          <w:tcPr>
            <w:tcW w:w="1150" w:type="dxa"/>
            <w:shd w:val="clear" w:color="auto" w:fill="00B050"/>
            <w:hideMark/>
          </w:tcPr>
          <w:p w:rsidR="00D1553C" w:rsidRPr="000951A7" w:rsidRDefault="006A1F6A" w:rsidP="00D1553C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93</w:t>
            </w:r>
            <w:r w:rsidR="00D1553C" w:rsidRPr="000951A7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%</w:t>
            </w:r>
          </w:p>
        </w:tc>
        <w:tc>
          <w:tcPr>
            <w:tcW w:w="1357" w:type="dxa"/>
            <w:shd w:val="clear" w:color="auto" w:fill="00B050"/>
            <w:hideMark/>
          </w:tcPr>
          <w:p w:rsidR="00D1553C" w:rsidRPr="000951A7" w:rsidRDefault="00D1553C" w:rsidP="00D1553C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 w:rsidRPr="00D1553C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47%</w:t>
            </w:r>
          </w:p>
        </w:tc>
      </w:tr>
      <w:tr w:rsidR="00D1553C" w:rsidRPr="000951A7" w:rsidTr="00D1553C">
        <w:trPr>
          <w:trHeight w:val="366"/>
          <w:jc w:val="center"/>
        </w:trPr>
        <w:tc>
          <w:tcPr>
            <w:tcW w:w="8605" w:type="dxa"/>
            <w:gridSpan w:val="6"/>
            <w:shd w:val="clear" w:color="auto" w:fill="FFFFFF" w:themeFill="background1"/>
          </w:tcPr>
          <w:p w:rsidR="00D1553C" w:rsidRPr="00553B49" w:rsidRDefault="00D1553C" w:rsidP="00553B49">
            <w:pPr>
              <w:jc w:val="center"/>
              <w:rPr>
                <w:rFonts w:ascii="Calibri" w:hAnsi="Calibri"/>
                <w:b/>
                <w:sz w:val="22"/>
                <w:szCs w:val="20"/>
                <w:lang w:val="es-CR" w:eastAsia="es-CR"/>
              </w:rPr>
            </w:pPr>
            <w:r w:rsidRPr="00553B49">
              <w:rPr>
                <w:rFonts w:ascii="Calibri" w:hAnsi="Calibri"/>
                <w:b/>
                <w:sz w:val="22"/>
                <w:szCs w:val="20"/>
                <w:lang w:val="es-CR" w:eastAsia="es-CR"/>
              </w:rPr>
              <w:t>Total OE                                                                                                                                                       2</w:t>
            </w:r>
          </w:p>
        </w:tc>
        <w:tc>
          <w:tcPr>
            <w:tcW w:w="1357" w:type="dxa"/>
            <w:shd w:val="clear" w:color="auto" w:fill="auto"/>
          </w:tcPr>
          <w:p w:rsidR="00D1553C" w:rsidRPr="00553B49" w:rsidRDefault="00D1553C" w:rsidP="00D1553C">
            <w:pPr>
              <w:jc w:val="center"/>
              <w:rPr>
                <w:rFonts w:ascii="Calibri" w:hAnsi="Calibri"/>
                <w:b/>
                <w:sz w:val="22"/>
                <w:szCs w:val="20"/>
                <w:lang w:val="es-CR" w:eastAsia="es-CR"/>
              </w:rPr>
            </w:pPr>
            <w:r w:rsidRPr="00553B49">
              <w:rPr>
                <w:rFonts w:ascii="Calibri" w:hAnsi="Calibri"/>
                <w:b/>
                <w:sz w:val="22"/>
                <w:szCs w:val="20"/>
                <w:lang w:val="es-CR" w:eastAsia="es-CR"/>
              </w:rPr>
              <w:t>47%</w:t>
            </w:r>
          </w:p>
        </w:tc>
      </w:tr>
    </w:tbl>
    <w:p w:rsidR="00671763" w:rsidRDefault="00671763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E820F5" w:rsidRDefault="00AA437F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lastRenderedPageBreak/>
        <w:t>Con respecto al objetivo G-01 “</w:t>
      </w:r>
      <w:r w:rsidRPr="00620340">
        <w:rPr>
          <w:rFonts w:asciiTheme="minorHAnsi" w:hAnsiTheme="minorHAnsi" w:cstheme="minorHAnsi"/>
          <w:i/>
          <w:sz w:val="23"/>
          <w:szCs w:val="23"/>
          <w:lang w:val="es-MX"/>
        </w:rPr>
        <w:t>Mejorar el grado de satisfacción de los beneficiarios finales</w:t>
      </w:r>
      <w:r>
        <w:rPr>
          <w:rFonts w:asciiTheme="minorHAnsi" w:hAnsiTheme="minorHAnsi" w:cstheme="minorHAnsi"/>
          <w:sz w:val="23"/>
          <w:szCs w:val="23"/>
          <w:lang w:val="es-MX"/>
        </w:rPr>
        <w:t>” se encuentra en proceso de realización. La empresa ganadora de la licitación tiene tiempo de realizar la encuesta y presentar el informe de resultados en el primer trimestre del periodo 2017, por lo que a la fecha no se cuenta con este dato.</w:t>
      </w:r>
      <w:r w:rsidR="00B65899">
        <w:rPr>
          <w:rFonts w:asciiTheme="minorHAnsi" w:hAnsiTheme="minorHAnsi" w:cstheme="minorHAnsi"/>
          <w:sz w:val="23"/>
          <w:szCs w:val="23"/>
          <w:lang w:val="es-MX"/>
        </w:rPr>
        <w:t xml:space="preserve"> Se estará comunicando el resultado final en el próximo seguimiento del PEI. </w:t>
      </w:r>
    </w:p>
    <w:p w:rsidR="00B65899" w:rsidRDefault="00B65899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B65899" w:rsidRDefault="00B65899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 xml:space="preserve">En cuanto al objetivo G-02 “Mejorar la percepción del BANHVI ante las entidades autorizadas” </w:t>
      </w:r>
      <w:r w:rsidR="000C0A70">
        <w:rPr>
          <w:rFonts w:asciiTheme="minorHAnsi" w:hAnsiTheme="minorHAnsi" w:cstheme="minorHAnsi"/>
          <w:sz w:val="23"/>
          <w:szCs w:val="23"/>
          <w:lang w:val="es-MX"/>
        </w:rPr>
        <w:t xml:space="preserve">se realizó la encuesta a </w:t>
      </w:r>
      <w:r w:rsidR="00571EC6">
        <w:rPr>
          <w:rFonts w:asciiTheme="minorHAnsi" w:hAnsiTheme="minorHAnsi" w:cstheme="minorHAnsi"/>
          <w:sz w:val="23"/>
          <w:szCs w:val="23"/>
          <w:lang w:val="es-MX"/>
        </w:rPr>
        <w:t>113 funcionarios de las Entidades Autorizadas en temas de calidad de servicios, tr</w:t>
      </w:r>
      <w:r w:rsidR="00555C14">
        <w:rPr>
          <w:rFonts w:asciiTheme="minorHAnsi" w:hAnsiTheme="minorHAnsi" w:cstheme="minorHAnsi"/>
          <w:sz w:val="23"/>
          <w:szCs w:val="23"/>
          <w:lang w:val="es-MX"/>
        </w:rPr>
        <w:t>á</w:t>
      </w:r>
      <w:r w:rsidR="00571EC6">
        <w:rPr>
          <w:rFonts w:asciiTheme="minorHAnsi" w:hAnsiTheme="minorHAnsi" w:cstheme="minorHAnsi"/>
          <w:sz w:val="23"/>
          <w:szCs w:val="23"/>
          <w:lang w:val="es-MX"/>
        </w:rPr>
        <w:t>mite de bonos y análisis de créditos FONAVI</w:t>
      </w:r>
      <w:r w:rsidR="00555C14">
        <w:rPr>
          <w:rFonts w:asciiTheme="minorHAnsi" w:hAnsiTheme="minorHAnsi" w:cstheme="minorHAnsi"/>
          <w:sz w:val="23"/>
          <w:szCs w:val="23"/>
          <w:lang w:val="es-MX"/>
        </w:rPr>
        <w:t xml:space="preserve"> y</w:t>
      </w:r>
      <w:r w:rsidR="00571EC6">
        <w:rPr>
          <w:rFonts w:asciiTheme="minorHAnsi" w:hAnsiTheme="minorHAnsi" w:cstheme="minorHAnsi"/>
          <w:sz w:val="23"/>
          <w:szCs w:val="23"/>
          <w:lang w:val="es-MX"/>
        </w:rPr>
        <w:t xml:space="preserve"> los resultados </w:t>
      </w:r>
      <w:r w:rsidR="00555C14">
        <w:rPr>
          <w:rFonts w:asciiTheme="minorHAnsi" w:hAnsiTheme="minorHAnsi" w:cstheme="minorHAnsi"/>
          <w:sz w:val="23"/>
          <w:szCs w:val="23"/>
          <w:lang w:val="es-MX"/>
        </w:rPr>
        <w:t xml:space="preserve">indican </w:t>
      </w:r>
      <w:r w:rsidR="00571EC6">
        <w:rPr>
          <w:rFonts w:asciiTheme="minorHAnsi" w:hAnsiTheme="minorHAnsi" w:cstheme="minorHAnsi"/>
          <w:sz w:val="23"/>
          <w:szCs w:val="23"/>
          <w:lang w:val="es-MX"/>
        </w:rPr>
        <w:t xml:space="preserve">que de 25 entidades autorizadas 14 califican al Banco mayor del 75%. </w:t>
      </w:r>
    </w:p>
    <w:p w:rsidR="002C1580" w:rsidRDefault="002C1580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AB00BC" w:rsidRPr="00506CF3" w:rsidRDefault="00AB00BC" w:rsidP="00AB00BC">
      <w:pPr>
        <w:pStyle w:val="Textoindependiente"/>
        <w:numPr>
          <w:ilvl w:val="1"/>
          <w:numId w:val="1"/>
        </w:numPr>
        <w:rPr>
          <w:rFonts w:asciiTheme="minorHAnsi" w:hAnsiTheme="minorHAnsi" w:cstheme="minorHAnsi"/>
          <w:b/>
          <w:smallCaps/>
          <w:sz w:val="26"/>
          <w:szCs w:val="26"/>
          <w:lang w:val="es-CR"/>
        </w:rPr>
      </w:pPr>
      <w:r>
        <w:rPr>
          <w:rFonts w:asciiTheme="minorHAnsi" w:hAnsiTheme="minorHAnsi" w:cstheme="minorHAnsi"/>
          <w:b/>
          <w:smallCaps/>
          <w:sz w:val="26"/>
          <w:szCs w:val="26"/>
          <w:lang w:val="es-CR"/>
        </w:rPr>
        <w:t>Perspectiva Financiera</w:t>
      </w:r>
    </w:p>
    <w:p w:rsidR="00AB00BC" w:rsidRPr="002D005F" w:rsidRDefault="00AB00BC" w:rsidP="00AB00BC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 w:rsidRPr="002D005F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</w:p>
    <w:p w:rsidR="00AB00BC" w:rsidRDefault="00AB00BC" w:rsidP="00AB00BC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L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>a calificaci</w:t>
      </w:r>
      <w:r>
        <w:rPr>
          <w:rFonts w:asciiTheme="minorHAnsi" w:hAnsiTheme="minorHAnsi" w:cstheme="minorHAnsi"/>
          <w:sz w:val="23"/>
          <w:szCs w:val="23"/>
          <w:lang w:val="es-MX"/>
        </w:rPr>
        <w:t>ón obtenida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 de esta 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perspectiva 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fue de un </w:t>
      </w:r>
      <w:r>
        <w:rPr>
          <w:rFonts w:asciiTheme="minorHAnsi" w:hAnsiTheme="minorHAnsi" w:cstheme="minorHAnsi"/>
          <w:sz w:val="23"/>
          <w:szCs w:val="23"/>
          <w:lang w:val="es-MX"/>
        </w:rPr>
        <w:t>97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%, 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el cual está 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conformado por </w:t>
      </w:r>
      <w:r>
        <w:rPr>
          <w:rFonts w:asciiTheme="minorHAnsi" w:hAnsiTheme="minorHAnsi" w:cstheme="minorHAnsi"/>
          <w:sz w:val="23"/>
          <w:szCs w:val="23"/>
          <w:lang w:val="es-MX"/>
        </w:rPr>
        <w:t>3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 objetivos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de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 los cuales su </w:t>
      </w:r>
      <w:r>
        <w:rPr>
          <w:rFonts w:asciiTheme="minorHAnsi" w:hAnsiTheme="minorHAnsi" w:cstheme="minorHAnsi"/>
          <w:sz w:val="23"/>
          <w:szCs w:val="23"/>
          <w:lang w:val="es-MX"/>
        </w:rPr>
        <w:t>cumplimiento</w:t>
      </w:r>
      <w:r w:rsidR="00F91642">
        <w:rPr>
          <w:rFonts w:asciiTheme="minorHAnsi" w:hAnsiTheme="minorHAnsi" w:cstheme="minorHAnsi"/>
          <w:sz w:val="23"/>
          <w:szCs w:val="23"/>
          <w:lang w:val="es-MX"/>
        </w:rPr>
        <w:t xml:space="preserve"> se presenta en el siguiente cuadro</w:t>
      </w:r>
      <w:r w:rsidRPr="00217EF4">
        <w:rPr>
          <w:rFonts w:asciiTheme="minorHAnsi" w:hAnsiTheme="minorHAnsi" w:cstheme="minorHAnsi"/>
          <w:sz w:val="23"/>
          <w:szCs w:val="23"/>
          <w:lang w:val="es-MX"/>
        </w:rPr>
        <w:t xml:space="preserve">: </w:t>
      </w:r>
    </w:p>
    <w:p w:rsidR="009E79C4" w:rsidRDefault="009E79C4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8554AE" w:rsidRPr="00EA0B84" w:rsidRDefault="008554AE" w:rsidP="008554AE">
      <w:pPr>
        <w:jc w:val="center"/>
        <w:rPr>
          <w:rFonts w:asciiTheme="minorHAnsi" w:hAnsiTheme="minorHAnsi" w:cstheme="minorHAnsi"/>
          <w:b/>
          <w:smallCaps/>
          <w:sz w:val="22"/>
          <w:szCs w:val="23"/>
          <w:lang w:val="es-MX"/>
        </w:rPr>
      </w:pPr>
      <w:r>
        <w:rPr>
          <w:rFonts w:asciiTheme="minorHAnsi" w:hAnsiTheme="minorHAnsi" w:cstheme="minorHAnsi"/>
          <w:b/>
          <w:smallCaps/>
          <w:sz w:val="22"/>
          <w:szCs w:val="23"/>
          <w:lang w:val="es-MX"/>
        </w:rPr>
        <w:t>Cuadro 6</w:t>
      </w:r>
    </w:p>
    <w:p w:rsidR="008554AE" w:rsidRDefault="008554AE" w:rsidP="008554AE">
      <w:pPr>
        <w:jc w:val="center"/>
        <w:rPr>
          <w:rFonts w:asciiTheme="minorHAnsi" w:hAnsiTheme="minorHAnsi" w:cstheme="minorHAnsi"/>
          <w:b/>
          <w:smallCaps/>
          <w:sz w:val="22"/>
          <w:szCs w:val="23"/>
          <w:lang w:val="es-MX"/>
        </w:rPr>
      </w:pPr>
      <w:r w:rsidRPr="00EA0B84">
        <w:rPr>
          <w:rFonts w:asciiTheme="minorHAnsi" w:hAnsiTheme="minorHAnsi" w:cstheme="minorHAnsi"/>
          <w:b/>
          <w:smallCaps/>
          <w:sz w:val="22"/>
          <w:szCs w:val="23"/>
          <w:lang w:val="es-MX"/>
        </w:rPr>
        <w:t>Composición de la Perspectiva</w:t>
      </w:r>
    </w:p>
    <w:p w:rsidR="00AA437F" w:rsidRDefault="00AA437F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tbl>
      <w:tblPr>
        <w:tblW w:w="105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411"/>
        <w:gridCol w:w="2006"/>
        <w:gridCol w:w="1548"/>
        <w:gridCol w:w="1615"/>
        <w:gridCol w:w="1085"/>
        <w:gridCol w:w="1292"/>
      </w:tblGrid>
      <w:tr w:rsidR="00253FB0" w:rsidRPr="008554AE" w:rsidTr="00253FB0">
        <w:trPr>
          <w:trHeight w:val="269"/>
          <w:jc w:val="center"/>
        </w:trPr>
        <w:tc>
          <w:tcPr>
            <w:tcW w:w="2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54AE" w:rsidRPr="008554AE" w:rsidRDefault="008554AE" w:rsidP="008554A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  <w:r w:rsidRPr="008554AE"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  <w:t>OBJETIVO ESTRATÉGICO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54AE" w:rsidRPr="008554AE" w:rsidRDefault="008554AE" w:rsidP="008554A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  <w:r w:rsidRPr="008554AE"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  <w:t>Indicador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54AE" w:rsidRPr="008554AE" w:rsidRDefault="008554AE" w:rsidP="008554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  <w:t>Meta 2016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54AE" w:rsidRPr="008554AE" w:rsidRDefault="008554AE" w:rsidP="008554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  <w:t>Resultado del indicador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54AE" w:rsidRPr="008554AE" w:rsidRDefault="008554AE" w:rsidP="008554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  <w:t xml:space="preserve">Puntuación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54AE" w:rsidRPr="008554AE" w:rsidRDefault="008554AE" w:rsidP="008554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  <w:t>Ponderación de OE</w:t>
            </w:r>
          </w:p>
        </w:tc>
      </w:tr>
      <w:tr w:rsidR="008554AE" w:rsidRPr="008554AE" w:rsidTr="00253FB0">
        <w:trPr>
          <w:trHeight w:val="269"/>
          <w:jc w:val="center"/>
        </w:trPr>
        <w:tc>
          <w:tcPr>
            <w:tcW w:w="2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AE" w:rsidRPr="008554AE" w:rsidRDefault="008554AE" w:rsidP="008554AE">
            <w:pPr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AE" w:rsidRPr="008554AE" w:rsidRDefault="008554AE" w:rsidP="008554AE">
            <w:pPr>
              <w:rPr>
                <w:rFonts w:ascii="Calibri" w:hAnsi="Calibri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AE" w:rsidRPr="008554AE" w:rsidRDefault="008554AE" w:rsidP="008554AE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AE" w:rsidRPr="008554AE" w:rsidRDefault="008554AE" w:rsidP="008554AE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AE" w:rsidRPr="008554AE" w:rsidRDefault="008554AE" w:rsidP="008554AE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AE" w:rsidRPr="008554AE" w:rsidRDefault="008554AE" w:rsidP="008554AE">
            <w:pPr>
              <w:rPr>
                <w:rFonts w:ascii="Calibri" w:hAnsi="Calibri"/>
                <w:b/>
                <w:bCs/>
                <w:sz w:val="20"/>
                <w:szCs w:val="20"/>
                <w:lang w:val="es-CR" w:eastAsia="es-CR"/>
              </w:rPr>
            </w:pPr>
          </w:p>
        </w:tc>
      </w:tr>
      <w:tr w:rsidR="00253FB0" w:rsidRPr="008554AE" w:rsidTr="00BE0C4A">
        <w:trPr>
          <w:trHeight w:val="60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4AE" w:rsidRPr="008554AE" w:rsidRDefault="00253FB0" w:rsidP="008554AE">
            <w:pPr>
              <w:jc w:val="center"/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  <w:t>F-01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4AE" w:rsidRPr="008554AE" w:rsidRDefault="008554AE" w:rsidP="008554AE">
            <w:pPr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Aumentar el saldo de la cartera de crédito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4AE" w:rsidRPr="008554AE" w:rsidRDefault="008554AE" w:rsidP="00253FB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Saldo de cartera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4AE" w:rsidRPr="008554AE" w:rsidRDefault="008554AE" w:rsidP="008554AE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sz w:val="20"/>
                <w:szCs w:val="20"/>
                <w:lang w:val="es-CR" w:eastAsia="es-CR"/>
              </w:rPr>
              <w:t>₡103,140,000.00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AE" w:rsidRPr="008554AE" w:rsidRDefault="008554AE" w:rsidP="008554AE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sz w:val="20"/>
                <w:szCs w:val="20"/>
                <w:lang w:val="es-CR" w:eastAsia="es-CR"/>
              </w:rPr>
              <w:t>₡106,700,000.00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8554AE" w:rsidRPr="008554AE" w:rsidRDefault="008554AE" w:rsidP="008554AE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103.45%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554AE" w:rsidRPr="008554AE" w:rsidRDefault="008554AE" w:rsidP="008554AE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33%</w:t>
            </w:r>
          </w:p>
        </w:tc>
      </w:tr>
      <w:tr w:rsidR="00253FB0" w:rsidRPr="008554AE" w:rsidTr="00BE0C4A">
        <w:trPr>
          <w:trHeight w:val="58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4AE" w:rsidRPr="008554AE" w:rsidRDefault="00253FB0" w:rsidP="008554AE">
            <w:pPr>
              <w:jc w:val="center"/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  <w:t>F-02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4AE" w:rsidRPr="008554AE" w:rsidRDefault="008554AE" w:rsidP="008554AE">
            <w:pPr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Mejorar la ejecución del presupuesto FOSUVI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4AE" w:rsidRPr="008554AE" w:rsidRDefault="008554AE" w:rsidP="00253FB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Porcentaje de ejecución presupuestaria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4AE" w:rsidRPr="008554AE" w:rsidRDefault="00704169" w:rsidP="008554AE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100</w:t>
            </w:r>
            <w:r w:rsidR="008554AE" w:rsidRPr="008554AE">
              <w:rPr>
                <w:rFonts w:ascii="Calibri" w:hAnsi="Calibri"/>
                <w:sz w:val="20"/>
                <w:szCs w:val="20"/>
                <w:lang w:val="es-CR" w:eastAsia="es-CR"/>
              </w:rPr>
              <w:t>%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AE" w:rsidRPr="008554AE" w:rsidRDefault="00704169" w:rsidP="008554AE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92</w:t>
            </w:r>
            <w:r w:rsidR="008554AE" w:rsidRPr="008554AE">
              <w:rPr>
                <w:rFonts w:ascii="Calibri" w:hAnsi="Calibri"/>
                <w:sz w:val="20"/>
                <w:szCs w:val="20"/>
                <w:lang w:val="es-CR" w:eastAsia="es-CR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554AE" w:rsidRPr="008554AE" w:rsidRDefault="00704169" w:rsidP="008554AE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92</w:t>
            </w:r>
            <w:r w:rsidR="008554AE" w:rsidRPr="008554AE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554AE" w:rsidRPr="008554AE" w:rsidRDefault="00BE0C4A" w:rsidP="008554AE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 w:rsidRPr="00BE0C4A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31%</w:t>
            </w:r>
          </w:p>
        </w:tc>
      </w:tr>
      <w:tr w:rsidR="00253FB0" w:rsidRPr="008554AE" w:rsidTr="00BE0C4A">
        <w:trPr>
          <w:trHeight w:val="91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4AE" w:rsidRPr="008554AE" w:rsidRDefault="00253FB0" w:rsidP="008554AE">
            <w:pPr>
              <w:jc w:val="center"/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  <w:t>F-03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4AE" w:rsidRPr="008554AE" w:rsidRDefault="008554AE" w:rsidP="008554AE">
            <w:pPr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 xml:space="preserve">Comprometer los montos de proyectos  Art. 59 de los recursos disponibles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4AE" w:rsidRPr="008554AE" w:rsidRDefault="008554AE" w:rsidP="00253FB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color w:val="000000"/>
                <w:sz w:val="20"/>
                <w:szCs w:val="20"/>
                <w:lang w:val="es-CR" w:eastAsia="es-CR"/>
              </w:rPr>
              <w:t>Relación del montos aprobados y disponibles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4AE" w:rsidRPr="008554AE" w:rsidRDefault="00704169" w:rsidP="008554AE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100</w:t>
            </w:r>
            <w:r w:rsidR="008554AE" w:rsidRPr="008554AE">
              <w:rPr>
                <w:rFonts w:ascii="Calibri" w:hAnsi="Calibri"/>
                <w:sz w:val="20"/>
                <w:szCs w:val="20"/>
                <w:lang w:val="es-CR" w:eastAsia="es-CR"/>
              </w:rPr>
              <w:t>%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AE" w:rsidRPr="008554AE" w:rsidRDefault="00704169" w:rsidP="008554AE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98</w:t>
            </w:r>
            <w:r w:rsidR="008554AE" w:rsidRPr="008554AE">
              <w:rPr>
                <w:rFonts w:ascii="Calibri" w:hAnsi="Calibri"/>
                <w:sz w:val="20"/>
                <w:szCs w:val="20"/>
                <w:lang w:val="es-CR" w:eastAsia="es-CR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554AE" w:rsidRPr="008554AE" w:rsidRDefault="00704169" w:rsidP="008554AE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98</w:t>
            </w:r>
            <w:r w:rsidR="008554AE" w:rsidRPr="008554AE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554AE" w:rsidRPr="008554AE" w:rsidRDefault="008554AE" w:rsidP="008554AE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</w:pPr>
            <w:r w:rsidRPr="008554AE">
              <w:rPr>
                <w:rFonts w:ascii="Calibri" w:hAnsi="Calibri"/>
                <w:b/>
                <w:color w:val="FFFFFF" w:themeColor="background1"/>
                <w:sz w:val="22"/>
                <w:szCs w:val="20"/>
                <w:lang w:val="es-CR" w:eastAsia="es-CR"/>
              </w:rPr>
              <w:t>33%</w:t>
            </w:r>
          </w:p>
        </w:tc>
      </w:tr>
      <w:tr w:rsidR="00BE0C4A" w:rsidRPr="00BE0C4A" w:rsidTr="00BE0C4A">
        <w:trPr>
          <w:trHeight w:val="383"/>
          <w:jc w:val="center"/>
        </w:trPr>
        <w:tc>
          <w:tcPr>
            <w:tcW w:w="92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C4A" w:rsidRPr="00BE0C4A" w:rsidRDefault="00BE0C4A" w:rsidP="00BE0C4A">
            <w:pPr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  <w:t xml:space="preserve">Total OE                                                                                                                                                                  </w:t>
            </w:r>
            <w:r w:rsidRPr="00BE0C4A">
              <w:rPr>
                <w:rFonts w:ascii="Calibri" w:hAnsi="Calibri"/>
                <w:b/>
                <w:bCs/>
                <w:color w:val="003366"/>
                <w:sz w:val="22"/>
                <w:szCs w:val="22"/>
                <w:lang w:val="es-CR" w:eastAsia="es-CR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C4A" w:rsidRPr="00BE0C4A" w:rsidRDefault="00BE0C4A" w:rsidP="00BE0C4A">
            <w:pPr>
              <w:jc w:val="center"/>
              <w:rPr>
                <w:rFonts w:ascii="Calibri" w:hAnsi="Calibri"/>
                <w:sz w:val="20"/>
                <w:szCs w:val="20"/>
                <w:lang w:val="es-CR" w:eastAsia="es-CR"/>
              </w:rPr>
            </w:pPr>
            <w:r>
              <w:rPr>
                <w:rFonts w:ascii="Calibri" w:hAnsi="Calibri"/>
                <w:sz w:val="20"/>
                <w:szCs w:val="20"/>
                <w:lang w:val="es-CR" w:eastAsia="es-CR"/>
              </w:rPr>
              <w:t>97%</w:t>
            </w:r>
          </w:p>
        </w:tc>
      </w:tr>
    </w:tbl>
    <w:p w:rsidR="00AA437F" w:rsidRDefault="00AA437F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452C15" w:rsidRDefault="00BA2D76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 xml:space="preserve">Como se puede visualizar en el cuadro anterior, esta es la perspectiva que cumple a cabalidad con lo programado. </w:t>
      </w:r>
    </w:p>
    <w:p w:rsidR="00BA2D76" w:rsidRDefault="00BA2D76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BA2D76" w:rsidRDefault="00BA2D76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lastRenderedPageBreak/>
        <w:t>El objetivo F-01 “</w:t>
      </w:r>
      <w:r w:rsidRPr="009F0515">
        <w:rPr>
          <w:rFonts w:asciiTheme="minorHAnsi" w:hAnsiTheme="minorHAnsi" w:cstheme="minorHAnsi"/>
          <w:i/>
          <w:sz w:val="23"/>
          <w:szCs w:val="23"/>
          <w:lang w:val="es-MX"/>
        </w:rPr>
        <w:t>Aumentar el saldo de la cartera de crédito</w:t>
      </w:r>
      <w:r>
        <w:rPr>
          <w:rFonts w:asciiTheme="minorHAnsi" w:hAnsiTheme="minorHAnsi" w:cstheme="minorHAnsi"/>
          <w:sz w:val="23"/>
          <w:szCs w:val="23"/>
          <w:lang w:val="es-MX"/>
        </w:rPr>
        <w:t>” sobrepas</w:t>
      </w:r>
      <w:r w:rsidR="007140E6">
        <w:rPr>
          <w:rFonts w:asciiTheme="minorHAnsi" w:hAnsiTheme="minorHAnsi" w:cstheme="minorHAnsi"/>
          <w:sz w:val="23"/>
          <w:szCs w:val="23"/>
          <w:lang w:val="es-MX"/>
        </w:rPr>
        <w:t>ó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la meta de un 8% a un 11.</w:t>
      </w:r>
      <w:r w:rsidR="00DA3F72">
        <w:rPr>
          <w:rFonts w:asciiTheme="minorHAnsi" w:hAnsiTheme="minorHAnsi" w:cstheme="minorHAnsi"/>
          <w:sz w:val="23"/>
          <w:szCs w:val="23"/>
          <w:lang w:val="es-MX"/>
        </w:rPr>
        <w:t>74% en el aumento de la cartera; actualme</w:t>
      </w:r>
      <w:r w:rsidR="007140E6">
        <w:rPr>
          <w:rFonts w:asciiTheme="minorHAnsi" w:hAnsiTheme="minorHAnsi" w:cstheme="minorHAnsi"/>
          <w:sz w:val="23"/>
          <w:szCs w:val="23"/>
          <w:lang w:val="es-MX"/>
        </w:rPr>
        <w:t>nte el B</w:t>
      </w:r>
      <w:r w:rsidR="00DA3F72">
        <w:rPr>
          <w:rFonts w:asciiTheme="minorHAnsi" w:hAnsiTheme="minorHAnsi" w:cstheme="minorHAnsi"/>
          <w:sz w:val="23"/>
          <w:szCs w:val="23"/>
          <w:lang w:val="es-MX"/>
        </w:rPr>
        <w:t xml:space="preserve">anco posee una cartera de ¢106.716,2 millones distribuidos en 12 entidades autorizadas en su mayoría sector cooperativo, mutualista y bancario, dejando por fuera el sector de asociaciones. </w:t>
      </w:r>
    </w:p>
    <w:p w:rsidR="00AD4D44" w:rsidRDefault="00AD4D44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AD4D44" w:rsidRDefault="00AD4D44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 xml:space="preserve">El Objetivo F-02 </w:t>
      </w:r>
      <w:r w:rsidR="002C04EB">
        <w:rPr>
          <w:rFonts w:asciiTheme="minorHAnsi" w:hAnsiTheme="minorHAnsi" w:cstheme="minorHAnsi"/>
          <w:sz w:val="23"/>
          <w:szCs w:val="23"/>
          <w:lang w:val="es-MX"/>
        </w:rPr>
        <w:t>“</w:t>
      </w:r>
      <w:r w:rsidR="002C04EB" w:rsidRPr="002C04EB">
        <w:rPr>
          <w:rFonts w:asciiTheme="minorHAnsi" w:hAnsiTheme="minorHAnsi" w:cstheme="minorHAnsi"/>
          <w:i/>
          <w:sz w:val="23"/>
          <w:szCs w:val="23"/>
          <w:lang w:val="es-MX"/>
        </w:rPr>
        <w:t>Mejorar la ejecución del presupuesto FOSUVI</w:t>
      </w:r>
      <w:r w:rsidR="002C04EB">
        <w:rPr>
          <w:rFonts w:asciiTheme="minorHAnsi" w:hAnsiTheme="minorHAnsi" w:cstheme="minorHAnsi"/>
          <w:sz w:val="23"/>
          <w:szCs w:val="23"/>
          <w:lang w:val="es-MX"/>
        </w:rPr>
        <w:t xml:space="preserve">” </w:t>
      </w:r>
      <w:r w:rsidR="001D44CC">
        <w:rPr>
          <w:rFonts w:asciiTheme="minorHAnsi" w:hAnsiTheme="minorHAnsi" w:cstheme="minorHAnsi"/>
          <w:sz w:val="23"/>
          <w:szCs w:val="23"/>
          <w:lang w:val="es-MX"/>
        </w:rPr>
        <w:t>obtuvo un cumplimiento del 92%, el desembolso por programa de Bono Ordinario y Artículo 59 obtuvo un 94% de ejecución; sin embargo</w:t>
      </w:r>
      <w:r w:rsidR="007140E6">
        <w:rPr>
          <w:rFonts w:asciiTheme="minorHAnsi" w:hAnsiTheme="minorHAnsi" w:cstheme="minorHAnsi"/>
          <w:sz w:val="23"/>
          <w:szCs w:val="23"/>
          <w:lang w:val="es-MX"/>
        </w:rPr>
        <w:t>,</w:t>
      </w:r>
      <w:r w:rsidR="001D44CC">
        <w:rPr>
          <w:rFonts w:asciiTheme="minorHAnsi" w:hAnsiTheme="minorHAnsi" w:cstheme="minorHAnsi"/>
          <w:sz w:val="23"/>
          <w:szCs w:val="23"/>
          <w:lang w:val="es-MX"/>
        </w:rPr>
        <w:t xml:space="preserve"> el programa Bono Colectivo tuvo un 56%. </w:t>
      </w:r>
      <w:r w:rsidR="000469C4">
        <w:rPr>
          <w:rFonts w:asciiTheme="minorHAnsi" w:hAnsiTheme="minorHAnsi" w:cstheme="minorHAnsi"/>
          <w:sz w:val="23"/>
          <w:szCs w:val="23"/>
          <w:lang w:val="es-MX"/>
        </w:rPr>
        <w:t xml:space="preserve">Como acciones de mejora esta dependencia pretende evaluar y definir un perfil para un puesto de Gestor de </w:t>
      </w:r>
      <w:r w:rsidR="00F91642">
        <w:rPr>
          <w:rFonts w:asciiTheme="minorHAnsi" w:hAnsiTheme="minorHAnsi" w:cstheme="minorHAnsi"/>
          <w:sz w:val="23"/>
          <w:szCs w:val="23"/>
          <w:lang w:val="es-MX"/>
        </w:rPr>
        <w:t xml:space="preserve">proyectos para el periodo 2017 que venga a apoyar los procesos involucrados y poder </w:t>
      </w:r>
      <w:r w:rsidR="00FC235A">
        <w:rPr>
          <w:rFonts w:asciiTheme="minorHAnsi" w:hAnsiTheme="minorHAnsi" w:cstheme="minorHAnsi"/>
          <w:sz w:val="23"/>
          <w:szCs w:val="23"/>
          <w:lang w:val="es-MX"/>
        </w:rPr>
        <w:t>optimizar</w:t>
      </w:r>
      <w:r w:rsidR="004D116B">
        <w:rPr>
          <w:rFonts w:asciiTheme="minorHAnsi" w:hAnsiTheme="minorHAnsi" w:cstheme="minorHAnsi"/>
          <w:sz w:val="23"/>
          <w:szCs w:val="23"/>
          <w:lang w:val="es-MX"/>
        </w:rPr>
        <w:t xml:space="preserve"> las acciones necesarias para alcanzar la meta propuesta.</w:t>
      </w:r>
    </w:p>
    <w:p w:rsidR="00C00FA7" w:rsidRDefault="00C00FA7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C00FA7" w:rsidRDefault="00C00FA7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Finalmente, el objetivo F-03 “</w:t>
      </w:r>
      <w:r w:rsidRPr="00C00FA7">
        <w:rPr>
          <w:rFonts w:asciiTheme="minorHAnsi" w:hAnsiTheme="minorHAnsi" w:cstheme="minorHAnsi"/>
          <w:i/>
          <w:sz w:val="23"/>
          <w:szCs w:val="23"/>
          <w:lang w:val="es-MX"/>
        </w:rPr>
        <w:t>Comprometer los montos de proyectos Art. 59 de los recurso</w:t>
      </w:r>
      <w:r w:rsidR="00B36B43">
        <w:rPr>
          <w:rFonts w:asciiTheme="minorHAnsi" w:hAnsiTheme="minorHAnsi" w:cstheme="minorHAnsi"/>
          <w:i/>
          <w:sz w:val="23"/>
          <w:szCs w:val="23"/>
          <w:lang w:val="es-MX"/>
        </w:rPr>
        <w:t>s</w:t>
      </w:r>
      <w:r w:rsidRPr="00C00FA7">
        <w:rPr>
          <w:rFonts w:asciiTheme="minorHAnsi" w:hAnsiTheme="minorHAnsi" w:cstheme="minorHAnsi"/>
          <w:i/>
          <w:sz w:val="23"/>
          <w:szCs w:val="23"/>
          <w:lang w:val="es-MX"/>
        </w:rPr>
        <w:t xml:space="preserve"> disponibles</w:t>
      </w:r>
      <w:r>
        <w:rPr>
          <w:rFonts w:asciiTheme="minorHAnsi" w:hAnsiTheme="minorHAnsi" w:cstheme="minorHAnsi"/>
          <w:sz w:val="23"/>
          <w:szCs w:val="23"/>
          <w:lang w:val="es-MX"/>
        </w:rPr>
        <w:t>”</w:t>
      </w:r>
      <w:r w:rsidR="007F6BF5">
        <w:rPr>
          <w:rFonts w:asciiTheme="minorHAnsi" w:hAnsiTheme="minorHAnsi" w:cstheme="minorHAnsi"/>
          <w:sz w:val="23"/>
          <w:szCs w:val="23"/>
          <w:lang w:val="es-MX"/>
        </w:rPr>
        <w:t xml:space="preserve"> se cumple en un 98%</w:t>
      </w:r>
      <w:r w:rsidR="00E633D9">
        <w:rPr>
          <w:rFonts w:asciiTheme="minorHAnsi" w:hAnsiTheme="minorHAnsi" w:cstheme="minorHAnsi"/>
          <w:sz w:val="23"/>
          <w:szCs w:val="23"/>
          <w:lang w:val="es-MX"/>
        </w:rPr>
        <w:t xml:space="preserve">. El presupuesto asignado fue de ¢39,845.13 millones y se comprometió un </w:t>
      </w:r>
      <w:r w:rsidR="003E471C">
        <w:rPr>
          <w:rFonts w:asciiTheme="minorHAnsi" w:hAnsiTheme="minorHAnsi" w:cstheme="minorHAnsi"/>
          <w:sz w:val="23"/>
          <w:szCs w:val="23"/>
          <w:lang w:val="es-MX"/>
        </w:rPr>
        <w:t xml:space="preserve">monto </w:t>
      </w:r>
      <w:r w:rsidR="007F6BF5">
        <w:rPr>
          <w:rFonts w:asciiTheme="minorHAnsi" w:hAnsiTheme="minorHAnsi" w:cstheme="minorHAnsi"/>
          <w:sz w:val="23"/>
          <w:szCs w:val="23"/>
          <w:lang w:val="es-MX"/>
        </w:rPr>
        <w:t>de ¢39,050.81 millones en programas</w:t>
      </w:r>
      <w:r w:rsidR="000566FC">
        <w:rPr>
          <w:rFonts w:asciiTheme="minorHAnsi" w:hAnsiTheme="minorHAnsi" w:cstheme="minorHAnsi"/>
          <w:sz w:val="23"/>
          <w:szCs w:val="23"/>
          <w:lang w:val="es-MX"/>
        </w:rPr>
        <w:t xml:space="preserve"> de</w:t>
      </w:r>
      <w:r w:rsidR="007F6BF5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0566FC">
        <w:rPr>
          <w:rFonts w:asciiTheme="minorHAnsi" w:hAnsiTheme="minorHAnsi" w:cstheme="minorHAnsi"/>
          <w:sz w:val="23"/>
          <w:szCs w:val="23"/>
          <w:lang w:val="es-MX"/>
        </w:rPr>
        <w:t>I</w:t>
      </w:r>
      <w:r w:rsidR="007F6BF5">
        <w:rPr>
          <w:rFonts w:asciiTheme="minorHAnsi" w:hAnsiTheme="minorHAnsi" w:cstheme="minorHAnsi"/>
          <w:sz w:val="23"/>
          <w:szCs w:val="23"/>
          <w:lang w:val="es-MX"/>
        </w:rPr>
        <w:t xml:space="preserve">ndígenas, </w:t>
      </w:r>
      <w:r w:rsidR="000566FC">
        <w:rPr>
          <w:rFonts w:asciiTheme="minorHAnsi" w:hAnsiTheme="minorHAnsi" w:cstheme="minorHAnsi"/>
          <w:sz w:val="23"/>
          <w:szCs w:val="23"/>
          <w:lang w:val="es-MX"/>
        </w:rPr>
        <w:t>I</w:t>
      </w:r>
      <w:r w:rsidR="007F6BF5">
        <w:rPr>
          <w:rFonts w:asciiTheme="minorHAnsi" w:hAnsiTheme="minorHAnsi" w:cstheme="minorHAnsi"/>
          <w:sz w:val="23"/>
          <w:szCs w:val="23"/>
          <w:lang w:val="es-MX"/>
        </w:rPr>
        <w:t xml:space="preserve">ndividuales, </w:t>
      </w:r>
      <w:r w:rsidR="000566FC">
        <w:rPr>
          <w:rFonts w:asciiTheme="minorHAnsi" w:hAnsiTheme="minorHAnsi" w:cstheme="minorHAnsi"/>
          <w:sz w:val="23"/>
          <w:szCs w:val="23"/>
          <w:lang w:val="es-MX"/>
        </w:rPr>
        <w:t>E</w:t>
      </w:r>
      <w:r w:rsidR="007F6BF5">
        <w:rPr>
          <w:rFonts w:asciiTheme="minorHAnsi" w:hAnsiTheme="minorHAnsi" w:cstheme="minorHAnsi"/>
          <w:sz w:val="23"/>
          <w:szCs w:val="23"/>
          <w:lang w:val="es-MX"/>
        </w:rPr>
        <w:t xml:space="preserve">rradicación </w:t>
      </w:r>
      <w:r w:rsidR="000566FC">
        <w:rPr>
          <w:rFonts w:asciiTheme="minorHAnsi" w:hAnsiTheme="minorHAnsi" w:cstheme="minorHAnsi"/>
          <w:sz w:val="23"/>
          <w:szCs w:val="23"/>
          <w:lang w:val="es-MX"/>
        </w:rPr>
        <w:t>de tugurios y/o precarios, V</w:t>
      </w:r>
      <w:r w:rsidR="007F6BF5">
        <w:rPr>
          <w:rFonts w:asciiTheme="minorHAnsi" w:hAnsiTheme="minorHAnsi" w:cstheme="minorHAnsi"/>
          <w:sz w:val="23"/>
          <w:szCs w:val="23"/>
          <w:lang w:val="es-MX"/>
        </w:rPr>
        <w:t xml:space="preserve">ivienda </w:t>
      </w:r>
      <w:r w:rsidR="000566FC">
        <w:rPr>
          <w:rFonts w:asciiTheme="minorHAnsi" w:hAnsiTheme="minorHAnsi" w:cstheme="minorHAnsi"/>
          <w:sz w:val="23"/>
          <w:szCs w:val="23"/>
          <w:lang w:val="es-MX"/>
        </w:rPr>
        <w:t>V</w:t>
      </w:r>
      <w:r w:rsidR="007F6BF5">
        <w:rPr>
          <w:rFonts w:asciiTheme="minorHAnsi" w:hAnsiTheme="minorHAnsi" w:cstheme="minorHAnsi"/>
          <w:sz w:val="23"/>
          <w:szCs w:val="23"/>
          <w:lang w:val="es-MX"/>
        </w:rPr>
        <w:t xml:space="preserve">ertical y </w:t>
      </w:r>
      <w:r w:rsidR="000566FC">
        <w:rPr>
          <w:rFonts w:asciiTheme="minorHAnsi" w:hAnsiTheme="minorHAnsi" w:cstheme="minorHAnsi"/>
          <w:sz w:val="23"/>
          <w:szCs w:val="23"/>
          <w:lang w:val="es-MX"/>
        </w:rPr>
        <w:t>S</w:t>
      </w:r>
      <w:r w:rsidR="007F6BF5">
        <w:rPr>
          <w:rFonts w:asciiTheme="minorHAnsi" w:hAnsiTheme="minorHAnsi" w:cstheme="minorHAnsi"/>
          <w:sz w:val="23"/>
          <w:szCs w:val="23"/>
          <w:lang w:val="es-MX"/>
        </w:rPr>
        <w:t xml:space="preserve">ituación de emergencia, externa, necesidad, minusvalía, adulto mayor y segunda planta. </w:t>
      </w:r>
    </w:p>
    <w:p w:rsidR="003B4163" w:rsidRDefault="003B4163" w:rsidP="00217EF4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0F4988" w:rsidRPr="000F4988" w:rsidRDefault="000F4988" w:rsidP="0058035F">
      <w:pPr>
        <w:jc w:val="both"/>
        <w:rPr>
          <w:rFonts w:ascii="Calibri" w:hAnsi="Calibri" w:cs="Calibri"/>
          <w:sz w:val="10"/>
          <w:szCs w:val="10"/>
          <w:lang w:val="es-CR"/>
        </w:rPr>
      </w:pPr>
    </w:p>
    <w:p w:rsidR="00AF2DE2" w:rsidRPr="00A93A67" w:rsidRDefault="00506CF3" w:rsidP="00A93A67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b/>
          <w:smallCaps/>
          <w:sz w:val="26"/>
          <w:szCs w:val="26"/>
          <w:lang w:val="es-CR"/>
        </w:rPr>
      </w:pPr>
      <w:r w:rsidRPr="00A93A67">
        <w:rPr>
          <w:rFonts w:asciiTheme="minorHAnsi" w:hAnsiTheme="minorHAnsi" w:cstheme="minorHAnsi"/>
          <w:b/>
          <w:smallCaps/>
          <w:sz w:val="26"/>
          <w:szCs w:val="26"/>
          <w:lang w:val="es-CR"/>
        </w:rPr>
        <w:t xml:space="preserve">Desviaciones </w:t>
      </w:r>
    </w:p>
    <w:p w:rsidR="00E077E2" w:rsidRDefault="00E077E2" w:rsidP="00E077E2">
      <w:pPr>
        <w:jc w:val="both"/>
        <w:rPr>
          <w:rFonts w:ascii="Calibri" w:hAnsi="Calibri" w:cs="Calibri"/>
          <w:lang w:val="es-CR"/>
        </w:rPr>
      </w:pPr>
    </w:p>
    <w:p w:rsidR="00A93A67" w:rsidRPr="00A93A67" w:rsidRDefault="00360E25" w:rsidP="00A93A67">
      <w:pPr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Durante el periodo 2016</w:t>
      </w:r>
      <w:r w:rsidR="00A93A67" w:rsidRPr="00A93A67">
        <w:rPr>
          <w:rFonts w:asciiTheme="minorHAnsi" w:hAnsiTheme="minorHAnsi" w:cstheme="minorHAnsi"/>
          <w:sz w:val="23"/>
          <w:szCs w:val="23"/>
          <w:lang w:val="es-MX"/>
        </w:rPr>
        <w:t xml:space="preserve"> existieron desviaciones internas las cuales hubieran mejorado el cumplimiento del PEI; a saber:  </w:t>
      </w:r>
    </w:p>
    <w:p w:rsidR="00A93A67" w:rsidRDefault="00A93A67" w:rsidP="00E077E2">
      <w:pPr>
        <w:jc w:val="both"/>
        <w:rPr>
          <w:rFonts w:ascii="Calibri" w:hAnsi="Calibri" w:cs="Calibri"/>
          <w:lang w:val="es-CR"/>
        </w:rPr>
      </w:pPr>
    </w:p>
    <w:p w:rsidR="00A93A67" w:rsidRDefault="00A93A67" w:rsidP="006922D1">
      <w:pPr>
        <w:pStyle w:val="Prrafodelista"/>
        <w:numPr>
          <w:ilvl w:val="2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Aprobación del Plan Estratég</w:t>
      </w:r>
      <w:r w:rsidR="00360E25">
        <w:rPr>
          <w:rFonts w:asciiTheme="minorHAnsi" w:hAnsiTheme="minorHAnsi" w:cstheme="minorHAnsi"/>
          <w:sz w:val="23"/>
          <w:szCs w:val="23"/>
          <w:lang w:val="es-MX"/>
        </w:rPr>
        <w:t>ico Institucional en el mes de m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ayo 2016, consecuentemente la implementación de dicho plan se inicia en el mes de </w:t>
      </w:r>
      <w:r w:rsidR="00360E25">
        <w:rPr>
          <w:rFonts w:asciiTheme="minorHAnsi" w:hAnsiTheme="minorHAnsi" w:cstheme="minorHAnsi"/>
          <w:sz w:val="23"/>
          <w:szCs w:val="23"/>
          <w:lang w:val="es-MX"/>
        </w:rPr>
        <w:t>j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ulio 2016. </w:t>
      </w:r>
    </w:p>
    <w:p w:rsidR="005B6A44" w:rsidRDefault="007A582C" w:rsidP="006922D1">
      <w:pPr>
        <w:pStyle w:val="Prrafodelista"/>
        <w:numPr>
          <w:ilvl w:val="2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 w:rsidRPr="005B6A44">
        <w:rPr>
          <w:rFonts w:asciiTheme="minorHAnsi" w:hAnsiTheme="minorHAnsi" w:cstheme="minorHAnsi"/>
          <w:sz w:val="23"/>
          <w:szCs w:val="23"/>
          <w:lang w:val="es-MX"/>
        </w:rPr>
        <w:t>Reprogramación</w:t>
      </w:r>
      <w:r w:rsidR="005B6A44" w:rsidRPr="005B6A44">
        <w:rPr>
          <w:rFonts w:asciiTheme="minorHAnsi" w:hAnsiTheme="minorHAnsi" w:cstheme="minorHAnsi"/>
          <w:sz w:val="23"/>
          <w:szCs w:val="23"/>
          <w:lang w:val="es-MX"/>
        </w:rPr>
        <w:t xml:space="preserve"> de las </w:t>
      </w:r>
      <w:r w:rsidR="00293118" w:rsidRPr="005B6A44">
        <w:rPr>
          <w:rFonts w:asciiTheme="minorHAnsi" w:hAnsiTheme="minorHAnsi" w:cstheme="minorHAnsi"/>
          <w:sz w:val="23"/>
          <w:szCs w:val="23"/>
          <w:lang w:val="es-MX"/>
        </w:rPr>
        <w:t>fechas programadas</w:t>
      </w:r>
      <w:r w:rsidR="00FD4A30" w:rsidRPr="005B6A44">
        <w:rPr>
          <w:rFonts w:asciiTheme="minorHAnsi" w:hAnsiTheme="minorHAnsi" w:cstheme="minorHAnsi"/>
          <w:sz w:val="23"/>
          <w:szCs w:val="23"/>
          <w:lang w:val="es-MX"/>
        </w:rPr>
        <w:t xml:space="preserve"> en las ac</w:t>
      </w:r>
      <w:r w:rsidR="005B6A44">
        <w:rPr>
          <w:rFonts w:asciiTheme="minorHAnsi" w:hAnsiTheme="minorHAnsi" w:cstheme="minorHAnsi"/>
          <w:sz w:val="23"/>
          <w:szCs w:val="23"/>
          <w:lang w:val="es-MX"/>
        </w:rPr>
        <w:t xml:space="preserve">ciones estratégicas para el II semestre del periodo 2016 y unas para fechas del periodo 2017. </w:t>
      </w:r>
    </w:p>
    <w:p w:rsidR="004B0824" w:rsidRDefault="004B0824" w:rsidP="006922D1">
      <w:pPr>
        <w:pStyle w:val="Prrafodelista"/>
        <w:numPr>
          <w:ilvl w:val="2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 xml:space="preserve">La falta de una debida planificación de tiempos y estimaciones por parte de algunas Jefaturas del Banco. </w:t>
      </w:r>
    </w:p>
    <w:p w:rsidR="00511D88" w:rsidRDefault="00511D88" w:rsidP="00534719">
      <w:pPr>
        <w:jc w:val="both"/>
        <w:rPr>
          <w:rFonts w:asciiTheme="minorHAnsi" w:hAnsiTheme="minorHAnsi" w:cstheme="minorHAnsi"/>
          <w:lang w:val="es-MX"/>
        </w:rPr>
      </w:pPr>
    </w:p>
    <w:p w:rsidR="00A054E8" w:rsidRPr="00A054DE" w:rsidRDefault="00A054E8" w:rsidP="00B3219A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b/>
          <w:smallCaps/>
          <w:sz w:val="26"/>
          <w:szCs w:val="26"/>
          <w:lang w:val="es-CR"/>
        </w:rPr>
      </w:pPr>
      <w:r w:rsidRPr="00A054DE">
        <w:rPr>
          <w:rFonts w:asciiTheme="minorHAnsi" w:hAnsiTheme="minorHAnsi" w:cstheme="minorHAnsi"/>
          <w:b/>
          <w:smallCaps/>
          <w:sz w:val="26"/>
          <w:szCs w:val="26"/>
          <w:lang w:val="es-CR"/>
        </w:rPr>
        <w:lastRenderedPageBreak/>
        <w:t>Conclusiones</w:t>
      </w:r>
    </w:p>
    <w:p w:rsidR="00A054E8" w:rsidRPr="00A84A2D" w:rsidRDefault="00A054E8" w:rsidP="00A054E8">
      <w:pPr>
        <w:jc w:val="both"/>
        <w:rPr>
          <w:rFonts w:ascii="Calibri" w:hAnsi="Calibri" w:cs="Calibri"/>
          <w:lang w:val="es-CR"/>
        </w:rPr>
      </w:pPr>
    </w:p>
    <w:p w:rsidR="00916FE1" w:rsidRDefault="005A4846" w:rsidP="00333E70">
      <w:pPr>
        <w:spacing w:line="360" w:lineRule="auto"/>
        <w:ind w:right="-40"/>
        <w:jc w:val="both"/>
        <w:rPr>
          <w:rFonts w:asciiTheme="minorHAnsi" w:hAnsiTheme="minorHAnsi" w:cstheme="minorHAnsi"/>
          <w:sz w:val="23"/>
          <w:szCs w:val="23"/>
        </w:rPr>
      </w:pPr>
      <w:r w:rsidRPr="00631E5C">
        <w:rPr>
          <w:rFonts w:asciiTheme="minorHAnsi" w:hAnsiTheme="minorHAnsi" w:cstheme="minorHAnsi"/>
          <w:sz w:val="23"/>
          <w:szCs w:val="23"/>
        </w:rPr>
        <w:t xml:space="preserve">Como resultado del seguimiento </w:t>
      </w:r>
      <w:r w:rsidR="00916FE1">
        <w:rPr>
          <w:rFonts w:asciiTheme="minorHAnsi" w:hAnsiTheme="minorHAnsi" w:cstheme="minorHAnsi"/>
          <w:sz w:val="23"/>
          <w:szCs w:val="23"/>
        </w:rPr>
        <w:t xml:space="preserve">del Plan estratégico </w:t>
      </w:r>
      <w:r w:rsidR="004C054F">
        <w:rPr>
          <w:rFonts w:asciiTheme="minorHAnsi" w:hAnsiTheme="minorHAnsi" w:cstheme="minorHAnsi"/>
          <w:sz w:val="23"/>
          <w:szCs w:val="23"/>
        </w:rPr>
        <w:t xml:space="preserve">para el periodo 2016 </w:t>
      </w:r>
      <w:r w:rsidR="00360E25">
        <w:rPr>
          <w:rFonts w:asciiTheme="minorHAnsi" w:hAnsiTheme="minorHAnsi" w:cstheme="minorHAnsi"/>
          <w:sz w:val="23"/>
          <w:szCs w:val="23"/>
        </w:rPr>
        <w:t xml:space="preserve">se obtiene </w:t>
      </w:r>
      <w:r w:rsidR="00916FE1">
        <w:rPr>
          <w:rFonts w:asciiTheme="minorHAnsi" w:hAnsiTheme="minorHAnsi" w:cstheme="minorHAnsi"/>
          <w:sz w:val="23"/>
          <w:szCs w:val="23"/>
        </w:rPr>
        <w:t xml:space="preserve">un </w:t>
      </w:r>
      <w:r w:rsidR="00A16ABB">
        <w:rPr>
          <w:rFonts w:asciiTheme="minorHAnsi" w:hAnsiTheme="minorHAnsi" w:cstheme="minorHAnsi"/>
          <w:sz w:val="23"/>
          <w:szCs w:val="23"/>
        </w:rPr>
        <w:t>70</w:t>
      </w:r>
      <w:r w:rsidR="00916FE1">
        <w:rPr>
          <w:rFonts w:asciiTheme="minorHAnsi" w:hAnsiTheme="minorHAnsi" w:cstheme="minorHAnsi"/>
          <w:sz w:val="23"/>
          <w:szCs w:val="23"/>
        </w:rPr>
        <w:t xml:space="preserve">% el cual dentro de los parámetros establecidos es Aceptable. </w:t>
      </w:r>
    </w:p>
    <w:p w:rsidR="00916FE1" w:rsidRDefault="00916FE1" w:rsidP="00333E70">
      <w:pPr>
        <w:spacing w:line="360" w:lineRule="auto"/>
        <w:ind w:right="-40"/>
        <w:jc w:val="both"/>
        <w:rPr>
          <w:rFonts w:asciiTheme="minorHAnsi" w:hAnsiTheme="minorHAnsi" w:cstheme="minorHAnsi"/>
          <w:sz w:val="23"/>
          <w:szCs w:val="23"/>
        </w:rPr>
      </w:pPr>
    </w:p>
    <w:p w:rsidR="00916FE1" w:rsidRDefault="00916FE1" w:rsidP="00333E70">
      <w:pPr>
        <w:spacing w:line="360" w:lineRule="auto"/>
        <w:ind w:right="-4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E</w:t>
      </w:r>
      <w:r w:rsidR="004C054F">
        <w:rPr>
          <w:rFonts w:asciiTheme="minorHAnsi" w:hAnsiTheme="minorHAnsi" w:cstheme="minorHAnsi"/>
          <w:sz w:val="23"/>
          <w:szCs w:val="23"/>
        </w:rPr>
        <w:t>sta U</w:t>
      </w:r>
      <w:r w:rsidR="005A4846" w:rsidRPr="00631E5C">
        <w:rPr>
          <w:rFonts w:asciiTheme="minorHAnsi" w:hAnsiTheme="minorHAnsi" w:cstheme="minorHAnsi"/>
          <w:sz w:val="23"/>
          <w:szCs w:val="23"/>
        </w:rPr>
        <w:t xml:space="preserve">nidad </w:t>
      </w:r>
      <w:r w:rsidR="0042539B">
        <w:rPr>
          <w:rFonts w:asciiTheme="minorHAnsi" w:hAnsiTheme="minorHAnsi" w:cstheme="minorHAnsi"/>
          <w:sz w:val="23"/>
          <w:szCs w:val="23"/>
        </w:rPr>
        <w:t xml:space="preserve">da como </w:t>
      </w:r>
      <w:r w:rsidR="00450CF8">
        <w:rPr>
          <w:rFonts w:asciiTheme="minorHAnsi" w:hAnsiTheme="minorHAnsi" w:cstheme="minorHAnsi"/>
          <w:sz w:val="23"/>
          <w:szCs w:val="23"/>
        </w:rPr>
        <w:t>aceptable</w:t>
      </w:r>
      <w:r w:rsidR="0042539B">
        <w:rPr>
          <w:rFonts w:asciiTheme="minorHAnsi" w:hAnsiTheme="minorHAnsi" w:cstheme="minorHAnsi"/>
          <w:sz w:val="23"/>
          <w:szCs w:val="23"/>
        </w:rPr>
        <w:t xml:space="preserve"> el mecanismo de sesiones de trabajo mensuales;</w:t>
      </w:r>
      <w:r w:rsidR="00EF5C5A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no obstante, </w:t>
      </w:r>
      <w:r w:rsidR="00450CF8">
        <w:rPr>
          <w:rFonts w:asciiTheme="minorHAnsi" w:hAnsiTheme="minorHAnsi" w:cstheme="minorHAnsi"/>
          <w:sz w:val="23"/>
          <w:szCs w:val="23"/>
        </w:rPr>
        <w:t>hay que mejorarlo debido a que las</w:t>
      </w:r>
      <w:r>
        <w:rPr>
          <w:rFonts w:asciiTheme="minorHAnsi" w:hAnsiTheme="minorHAnsi" w:cstheme="minorHAnsi"/>
          <w:sz w:val="23"/>
          <w:szCs w:val="23"/>
        </w:rPr>
        <w:t xml:space="preserve"> jefaturas</w:t>
      </w:r>
      <w:r w:rsidR="00450CF8">
        <w:rPr>
          <w:rFonts w:asciiTheme="minorHAnsi" w:hAnsiTheme="minorHAnsi" w:cstheme="minorHAnsi"/>
          <w:sz w:val="23"/>
          <w:szCs w:val="23"/>
        </w:rPr>
        <w:t xml:space="preserve"> y algunos funcionarios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450CF8">
        <w:rPr>
          <w:rFonts w:asciiTheme="minorHAnsi" w:hAnsiTheme="minorHAnsi" w:cstheme="minorHAnsi"/>
          <w:sz w:val="23"/>
          <w:szCs w:val="23"/>
        </w:rPr>
        <w:t xml:space="preserve">dan información escueta y </w:t>
      </w:r>
      <w:r>
        <w:rPr>
          <w:rFonts w:asciiTheme="minorHAnsi" w:hAnsiTheme="minorHAnsi" w:cstheme="minorHAnsi"/>
          <w:sz w:val="23"/>
          <w:szCs w:val="23"/>
        </w:rPr>
        <w:t xml:space="preserve">llegan sin la documentación </w:t>
      </w:r>
      <w:r w:rsidR="00C769BD">
        <w:rPr>
          <w:rFonts w:asciiTheme="minorHAnsi" w:hAnsiTheme="minorHAnsi" w:cstheme="minorHAnsi"/>
          <w:sz w:val="23"/>
          <w:szCs w:val="23"/>
        </w:rPr>
        <w:t xml:space="preserve">de respaldo </w:t>
      </w:r>
      <w:r>
        <w:rPr>
          <w:rFonts w:asciiTheme="minorHAnsi" w:hAnsiTheme="minorHAnsi" w:cstheme="minorHAnsi"/>
          <w:sz w:val="23"/>
          <w:szCs w:val="23"/>
        </w:rPr>
        <w:t xml:space="preserve">necesaria a estas sesiones por lo que se debe solicitar </w:t>
      </w:r>
      <w:r w:rsidR="00C769BD">
        <w:rPr>
          <w:rFonts w:asciiTheme="minorHAnsi" w:hAnsiTheme="minorHAnsi" w:cstheme="minorHAnsi"/>
          <w:sz w:val="23"/>
          <w:szCs w:val="23"/>
        </w:rPr>
        <w:t xml:space="preserve">dicha </w:t>
      </w:r>
      <w:r>
        <w:rPr>
          <w:rFonts w:asciiTheme="minorHAnsi" w:hAnsiTheme="minorHAnsi" w:cstheme="minorHAnsi"/>
          <w:sz w:val="23"/>
          <w:szCs w:val="23"/>
        </w:rPr>
        <w:t>informaci</w:t>
      </w:r>
      <w:r w:rsidR="00C769BD">
        <w:rPr>
          <w:rFonts w:asciiTheme="minorHAnsi" w:hAnsiTheme="minorHAnsi" w:cstheme="minorHAnsi"/>
          <w:sz w:val="23"/>
          <w:szCs w:val="23"/>
        </w:rPr>
        <w:t>ón</w:t>
      </w:r>
      <w:r w:rsidR="00450CF8">
        <w:rPr>
          <w:rFonts w:asciiTheme="minorHAnsi" w:hAnsiTheme="minorHAnsi" w:cstheme="minorHAnsi"/>
          <w:sz w:val="23"/>
          <w:szCs w:val="23"/>
        </w:rPr>
        <w:t xml:space="preserve"> generando atrasos en este proceso. </w:t>
      </w:r>
    </w:p>
    <w:p w:rsidR="00C769BD" w:rsidRDefault="00C769BD" w:rsidP="00333E70">
      <w:pPr>
        <w:spacing w:line="360" w:lineRule="auto"/>
        <w:ind w:right="-40"/>
        <w:jc w:val="both"/>
        <w:rPr>
          <w:rFonts w:asciiTheme="minorHAnsi" w:hAnsiTheme="minorHAnsi" w:cstheme="minorHAnsi"/>
          <w:sz w:val="23"/>
          <w:szCs w:val="23"/>
        </w:rPr>
      </w:pPr>
    </w:p>
    <w:p w:rsidR="00B26B2D" w:rsidRDefault="00DD0CE9" w:rsidP="00333E70">
      <w:pPr>
        <w:spacing w:line="360" w:lineRule="auto"/>
        <w:ind w:right="-4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Asimismo, </w:t>
      </w:r>
      <w:r w:rsidR="00E372EC">
        <w:rPr>
          <w:rFonts w:asciiTheme="minorHAnsi" w:hAnsiTheme="minorHAnsi" w:cstheme="minorHAnsi"/>
          <w:sz w:val="23"/>
          <w:szCs w:val="23"/>
        </w:rPr>
        <w:t xml:space="preserve">esta Unidad analizó la herramienta de Excel con que se llevó el seguimiento del Plan y en paralelo inicio la automatización en el Sistema DELPHOS, determinando usar a partir del segundo seguimiento del PEI dicho sistema, el cual incluiría aparte de los objetivos, indicadores </w:t>
      </w:r>
      <w:r w:rsidR="005A6DD0">
        <w:rPr>
          <w:rFonts w:asciiTheme="minorHAnsi" w:hAnsiTheme="minorHAnsi" w:cstheme="minorHAnsi"/>
          <w:sz w:val="23"/>
          <w:szCs w:val="23"/>
        </w:rPr>
        <w:t>y</w:t>
      </w:r>
      <w:r w:rsidR="00E372EC">
        <w:rPr>
          <w:rFonts w:asciiTheme="minorHAnsi" w:hAnsiTheme="minorHAnsi" w:cstheme="minorHAnsi"/>
          <w:sz w:val="23"/>
          <w:szCs w:val="23"/>
        </w:rPr>
        <w:t xml:space="preserve"> metas, el seguimiento de las acciones y sus respectivas alertas de cumplimiento a cada responsable. También se llevará cabo la vinculación con la metas del POI 2017. </w:t>
      </w:r>
    </w:p>
    <w:p w:rsidR="00B26B2D" w:rsidRDefault="00B26B2D" w:rsidP="00333E70">
      <w:pPr>
        <w:spacing w:line="360" w:lineRule="auto"/>
        <w:ind w:right="-40"/>
        <w:jc w:val="both"/>
        <w:rPr>
          <w:rFonts w:asciiTheme="minorHAnsi" w:hAnsiTheme="minorHAnsi" w:cstheme="minorHAnsi"/>
          <w:sz w:val="23"/>
          <w:szCs w:val="23"/>
        </w:rPr>
      </w:pPr>
    </w:p>
    <w:p w:rsidR="00333E70" w:rsidRPr="00333E70" w:rsidRDefault="00585C75" w:rsidP="00333E70">
      <w:pPr>
        <w:spacing w:line="360" w:lineRule="auto"/>
        <w:ind w:right="-4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Finalmente</w:t>
      </w:r>
      <w:r w:rsidR="000D5D4A">
        <w:rPr>
          <w:rFonts w:asciiTheme="minorHAnsi" w:hAnsiTheme="minorHAnsi" w:cstheme="minorHAnsi"/>
          <w:sz w:val="23"/>
          <w:szCs w:val="23"/>
        </w:rPr>
        <w:t xml:space="preserve">, </w:t>
      </w:r>
      <w:r w:rsidR="007D3F3F">
        <w:rPr>
          <w:rFonts w:asciiTheme="minorHAnsi" w:hAnsiTheme="minorHAnsi" w:cstheme="minorHAnsi"/>
          <w:sz w:val="23"/>
          <w:szCs w:val="23"/>
        </w:rPr>
        <w:t xml:space="preserve">se debe tomar conciencia en </w:t>
      </w:r>
      <w:r w:rsidR="000D5D4A">
        <w:rPr>
          <w:rFonts w:asciiTheme="minorHAnsi" w:hAnsiTheme="minorHAnsi" w:cstheme="minorHAnsi"/>
          <w:sz w:val="23"/>
          <w:szCs w:val="23"/>
        </w:rPr>
        <w:t xml:space="preserve">cambiar la cultura organizacional </w:t>
      </w:r>
      <w:r w:rsidR="007D3F3F">
        <w:rPr>
          <w:rFonts w:asciiTheme="minorHAnsi" w:hAnsiTheme="minorHAnsi" w:cstheme="minorHAnsi"/>
          <w:sz w:val="23"/>
          <w:szCs w:val="23"/>
        </w:rPr>
        <w:t xml:space="preserve">vigente del Banco a una cultura </w:t>
      </w:r>
      <w:r w:rsidR="000D5D4A">
        <w:rPr>
          <w:rFonts w:asciiTheme="minorHAnsi" w:hAnsiTheme="minorHAnsi" w:cstheme="minorHAnsi"/>
          <w:sz w:val="23"/>
          <w:szCs w:val="23"/>
        </w:rPr>
        <w:t>de</w:t>
      </w:r>
      <w:r w:rsidR="006922D1">
        <w:rPr>
          <w:rFonts w:asciiTheme="minorHAnsi" w:hAnsiTheme="minorHAnsi" w:cstheme="minorHAnsi"/>
          <w:sz w:val="23"/>
          <w:szCs w:val="23"/>
        </w:rPr>
        <w:t xml:space="preserve"> medición, rendición de cuentas a</w:t>
      </w:r>
      <w:r w:rsidR="007D3F3F">
        <w:rPr>
          <w:rFonts w:asciiTheme="minorHAnsi" w:hAnsiTheme="minorHAnsi" w:cstheme="minorHAnsi"/>
          <w:sz w:val="23"/>
          <w:szCs w:val="23"/>
        </w:rPr>
        <w:t xml:space="preserve"> todos los funcionarios activos. </w:t>
      </w:r>
    </w:p>
    <w:p w:rsidR="0082138B" w:rsidRDefault="0082138B" w:rsidP="00352FF0">
      <w:pPr>
        <w:jc w:val="both"/>
        <w:rPr>
          <w:rFonts w:asciiTheme="minorHAnsi" w:hAnsiTheme="minorHAnsi" w:cstheme="minorHAnsi"/>
        </w:rPr>
      </w:pPr>
    </w:p>
    <w:p w:rsidR="00E20D16" w:rsidRDefault="00E20D16" w:rsidP="003255E2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b/>
          <w:smallCaps/>
          <w:sz w:val="26"/>
          <w:szCs w:val="26"/>
          <w:lang w:val="es-CR"/>
        </w:rPr>
      </w:pPr>
      <w:r>
        <w:rPr>
          <w:rFonts w:asciiTheme="minorHAnsi" w:hAnsiTheme="minorHAnsi" w:cstheme="minorHAnsi"/>
          <w:b/>
          <w:smallCaps/>
          <w:sz w:val="26"/>
          <w:szCs w:val="26"/>
          <w:lang w:val="es-CR"/>
        </w:rPr>
        <w:t>Recomendaciones</w:t>
      </w:r>
    </w:p>
    <w:p w:rsidR="00E20D16" w:rsidRDefault="00E20D16" w:rsidP="00E20D16">
      <w:pPr>
        <w:pStyle w:val="Textoindependiente"/>
        <w:ind w:left="66"/>
        <w:rPr>
          <w:rFonts w:asciiTheme="minorHAnsi" w:hAnsiTheme="minorHAnsi" w:cstheme="minorHAnsi"/>
          <w:b/>
          <w:smallCaps/>
          <w:sz w:val="26"/>
          <w:szCs w:val="26"/>
          <w:lang w:val="es-CR"/>
        </w:rPr>
      </w:pPr>
    </w:p>
    <w:p w:rsidR="003346D9" w:rsidRDefault="00455E76" w:rsidP="006922D1">
      <w:pPr>
        <w:pStyle w:val="Prrafodelista"/>
        <w:numPr>
          <w:ilvl w:val="2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 xml:space="preserve">Realizar sesiones de trabajo </w:t>
      </w:r>
      <w:r w:rsidR="00BD2542">
        <w:rPr>
          <w:rFonts w:asciiTheme="minorHAnsi" w:hAnsiTheme="minorHAnsi" w:cstheme="minorHAnsi"/>
          <w:sz w:val="23"/>
          <w:szCs w:val="23"/>
          <w:lang w:val="es-MX"/>
        </w:rPr>
        <w:t xml:space="preserve">para el periodo 2017 de manera </w:t>
      </w:r>
      <w:r w:rsidR="003B3B9F">
        <w:rPr>
          <w:rFonts w:asciiTheme="minorHAnsi" w:hAnsiTheme="minorHAnsi" w:cstheme="minorHAnsi"/>
          <w:sz w:val="23"/>
          <w:szCs w:val="23"/>
          <w:lang w:val="es-MX"/>
        </w:rPr>
        <w:t>bimensual</w:t>
      </w:r>
      <w:r w:rsidR="00BD2542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para un mayor seguimiento de los objetivos y acciones, </w:t>
      </w:r>
      <w:r w:rsidR="00BD2542">
        <w:rPr>
          <w:rFonts w:asciiTheme="minorHAnsi" w:hAnsiTheme="minorHAnsi" w:cstheme="minorHAnsi"/>
          <w:sz w:val="23"/>
          <w:szCs w:val="23"/>
          <w:lang w:val="es-MX"/>
        </w:rPr>
        <w:t xml:space="preserve">remitiendo un informe técnico al Comité de Planeamiento Estratégico 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en los casos </w:t>
      </w:r>
      <w:r w:rsidR="00BD2542">
        <w:rPr>
          <w:rFonts w:asciiTheme="minorHAnsi" w:hAnsiTheme="minorHAnsi" w:cstheme="minorHAnsi"/>
          <w:sz w:val="23"/>
          <w:szCs w:val="23"/>
          <w:lang w:val="es-MX"/>
        </w:rPr>
        <w:t>como se había planteado mediante nota UPI-ME-0056-2016 del 28 de junio del</w:t>
      </w:r>
      <w:r w:rsidR="00F712B9">
        <w:rPr>
          <w:rFonts w:asciiTheme="minorHAnsi" w:hAnsiTheme="minorHAnsi" w:cstheme="minorHAnsi"/>
          <w:sz w:val="23"/>
          <w:szCs w:val="23"/>
          <w:lang w:val="es-MX"/>
        </w:rPr>
        <w:t xml:space="preserve"> 2016; e</w:t>
      </w:r>
      <w:r w:rsidR="00BD2542">
        <w:rPr>
          <w:rFonts w:asciiTheme="minorHAnsi" w:hAnsiTheme="minorHAnsi" w:cstheme="minorHAnsi"/>
          <w:sz w:val="23"/>
          <w:szCs w:val="23"/>
          <w:lang w:val="es-MX"/>
        </w:rPr>
        <w:t xml:space="preserve">mpezando las sesiones de trabajo </w:t>
      </w:r>
      <w:r w:rsidR="002108AF">
        <w:rPr>
          <w:rFonts w:asciiTheme="minorHAnsi" w:hAnsiTheme="minorHAnsi" w:cstheme="minorHAnsi"/>
          <w:sz w:val="23"/>
          <w:szCs w:val="23"/>
          <w:lang w:val="es-MX"/>
        </w:rPr>
        <w:t>en</w:t>
      </w:r>
      <w:r w:rsidR="00BD2542">
        <w:rPr>
          <w:rFonts w:asciiTheme="minorHAnsi" w:hAnsiTheme="minorHAnsi" w:cstheme="minorHAnsi"/>
          <w:sz w:val="23"/>
          <w:szCs w:val="23"/>
          <w:lang w:val="es-MX"/>
        </w:rPr>
        <w:t xml:space="preserve"> el mes de </w:t>
      </w:r>
      <w:r w:rsidR="005A6DD0">
        <w:rPr>
          <w:rFonts w:asciiTheme="minorHAnsi" w:hAnsiTheme="minorHAnsi" w:cstheme="minorHAnsi"/>
          <w:sz w:val="23"/>
          <w:szCs w:val="23"/>
          <w:lang w:val="es-MX"/>
        </w:rPr>
        <w:t>m</w:t>
      </w:r>
      <w:r>
        <w:rPr>
          <w:rFonts w:asciiTheme="minorHAnsi" w:hAnsiTheme="minorHAnsi" w:cstheme="minorHAnsi"/>
          <w:sz w:val="23"/>
          <w:szCs w:val="23"/>
          <w:lang w:val="es-MX"/>
        </w:rPr>
        <w:t>ayo</w:t>
      </w:r>
      <w:r w:rsidR="00BD2542">
        <w:rPr>
          <w:rFonts w:asciiTheme="minorHAnsi" w:hAnsiTheme="minorHAnsi" w:cstheme="minorHAnsi"/>
          <w:sz w:val="23"/>
          <w:szCs w:val="23"/>
          <w:lang w:val="es-MX"/>
        </w:rPr>
        <w:t xml:space="preserve"> 2017.</w:t>
      </w:r>
    </w:p>
    <w:p w:rsidR="00455E76" w:rsidRDefault="00455E76" w:rsidP="00455E76">
      <w:pPr>
        <w:pStyle w:val="Prrafodelista"/>
        <w:spacing w:line="360" w:lineRule="auto"/>
        <w:ind w:left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</w:p>
    <w:p w:rsidR="00455E76" w:rsidRDefault="005C45DE" w:rsidP="006922D1">
      <w:pPr>
        <w:pStyle w:val="Prrafodelista"/>
        <w:numPr>
          <w:ilvl w:val="2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 xml:space="preserve">Solicitar a las </w:t>
      </w:r>
      <w:r w:rsidR="00751215">
        <w:rPr>
          <w:rFonts w:asciiTheme="minorHAnsi" w:hAnsiTheme="minorHAnsi" w:cstheme="minorHAnsi"/>
          <w:sz w:val="23"/>
          <w:szCs w:val="23"/>
          <w:lang w:val="es-MX"/>
        </w:rPr>
        <w:t>j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efaturas </w:t>
      </w:r>
      <w:r w:rsidR="00BD579C">
        <w:rPr>
          <w:rFonts w:asciiTheme="minorHAnsi" w:hAnsiTheme="minorHAnsi" w:cstheme="minorHAnsi"/>
          <w:sz w:val="23"/>
          <w:szCs w:val="23"/>
          <w:lang w:val="es-MX"/>
        </w:rPr>
        <w:t>r</w:t>
      </w:r>
      <w:r w:rsidR="00A03623">
        <w:rPr>
          <w:rFonts w:asciiTheme="minorHAnsi" w:hAnsiTheme="minorHAnsi" w:cstheme="minorHAnsi"/>
          <w:sz w:val="23"/>
          <w:szCs w:val="23"/>
          <w:lang w:val="es-MX"/>
        </w:rPr>
        <w:t xml:space="preserve">evisar los objetivos que se encuentran en el parámetro de necesidad de mejora para analizar más en detalle en qué está fallando el Banco </w:t>
      </w:r>
      <w:r w:rsidR="00BD579C">
        <w:rPr>
          <w:rFonts w:asciiTheme="minorHAnsi" w:hAnsiTheme="minorHAnsi" w:cstheme="minorHAnsi"/>
          <w:sz w:val="23"/>
          <w:szCs w:val="23"/>
          <w:lang w:val="es-MX"/>
        </w:rPr>
        <w:t xml:space="preserve">con el fin de </w:t>
      </w:r>
      <w:r w:rsidR="00A03623">
        <w:rPr>
          <w:rFonts w:asciiTheme="minorHAnsi" w:hAnsiTheme="minorHAnsi" w:cstheme="minorHAnsi"/>
          <w:sz w:val="23"/>
          <w:szCs w:val="23"/>
          <w:lang w:val="es-MX"/>
        </w:rPr>
        <w:t>poder cumplirlo en los periodos siguientes</w:t>
      </w:r>
      <w:r w:rsidR="00BD579C">
        <w:rPr>
          <w:rFonts w:asciiTheme="minorHAnsi" w:hAnsiTheme="minorHAnsi" w:cstheme="minorHAnsi"/>
          <w:sz w:val="23"/>
          <w:szCs w:val="23"/>
          <w:lang w:val="es-MX"/>
        </w:rPr>
        <w:t xml:space="preserve">; </w:t>
      </w:r>
      <w:r w:rsidR="00751215">
        <w:rPr>
          <w:rFonts w:asciiTheme="minorHAnsi" w:hAnsiTheme="minorHAnsi" w:cstheme="minorHAnsi"/>
          <w:sz w:val="23"/>
          <w:szCs w:val="23"/>
          <w:lang w:val="es-MX"/>
        </w:rPr>
        <w:t>a saber</w:t>
      </w:r>
      <w:r w:rsidR="00A03623">
        <w:rPr>
          <w:rFonts w:asciiTheme="minorHAnsi" w:hAnsiTheme="minorHAnsi" w:cstheme="minorHAnsi"/>
          <w:sz w:val="23"/>
          <w:szCs w:val="23"/>
          <w:lang w:val="es-MX"/>
        </w:rPr>
        <w:t xml:space="preserve">: </w:t>
      </w:r>
      <w:r w:rsidR="00BD579C">
        <w:rPr>
          <w:rFonts w:asciiTheme="minorHAnsi" w:hAnsiTheme="minorHAnsi" w:cstheme="minorHAnsi"/>
          <w:sz w:val="23"/>
          <w:szCs w:val="23"/>
          <w:lang w:val="es-MX"/>
        </w:rPr>
        <w:t>Dirección FOSUVI (</w:t>
      </w:r>
      <w:r>
        <w:rPr>
          <w:rFonts w:asciiTheme="minorHAnsi" w:hAnsiTheme="minorHAnsi" w:cstheme="minorHAnsi"/>
          <w:sz w:val="23"/>
          <w:szCs w:val="23"/>
          <w:lang w:val="es-MX"/>
        </w:rPr>
        <w:t>PI-02, PI-04</w:t>
      </w:r>
      <w:r w:rsidR="00BD579C">
        <w:rPr>
          <w:rFonts w:asciiTheme="minorHAnsi" w:hAnsiTheme="minorHAnsi" w:cstheme="minorHAnsi"/>
          <w:sz w:val="23"/>
          <w:szCs w:val="23"/>
          <w:lang w:val="es-MX"/>
        </w:rPr>
        <w:t>), Dirección FONAVI (</w:t>
      </w:r>
      <w:r>
        <w:rPr>
          <w:rFonts w:asciiTheme="minorHAnsi" w:hAnsiTheme="minorHAnsi" w:cstheme="minorHAnsi"/>
          <w:sz w:val="23"/>
          <w:szCs w:val="23"/>
          <w:lang w:val="es-MX"/>
        </w:rPr>
        <w:t>PI-08</w:t>
      </w:r>
      <w:r w:rsidR="00BD579C">
        <w:rPr>
          <w:rFonts w:asciiTheme="minorHAnsi" w:hAnsiTheme="minorHAnsi" w:cstheme="minorHAnsi"/>
          <w:sz w:val="23"/>
          <w:szCs w:val="23"/>
          <w:lang w:val="es-MX"/>
        </w:rPr>
        <w:t>) y Dirección Administrativa (</w:t>
      </w:r>
      <w:r>
        <w:rPr>
          <w:rFonts w:asciiTheme="minorHAnsi" w:hAnsiTheme="minorHAnsi" w:cstheme="minorHAnsi"/>
          <w:sz w:val="23"/>
          <w:szCs w:val="23"/>
          <w:lang w:val="es-MX"/>
        </w:rPr>
        <w:t>PCO-01</w:t>
      </w:r>
      <w:r w:rsidR="00BD579C">
        <w:rPr>
          <w:rFonts w:asciiTheme="minorHAnsi" w:hAnsiTheme="minorHAnsi" w:cstheme="minorHAnsi"/>
          <w:sz w:val="23"/>
          <w:szCs w:val="23"/>
          <w:lang w:val="es-MX"/>
        </w:rPr>
        <w:t xml:space="preserve">). </w:t>
      </w:r>
      <w:r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</w:p>
    <w:p w:rsidR="00A15B6C" w:rsidRDefault="00A15B6C" w:rsidP="00A15B6C">
      <w:pPr>
        <w:pStyle w:val="Prrafodelista"/>
        <w:spacing w:line="360" w:lineRule="auto"/>
        <w:ind w:left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</w:p>
    <w:p w:rsidR="00F04ABA" w:rsidRPr="00822F18" w:rsidRDefault="00B468C0" w:rsidP="006922D1">
      <w:pPr>
        <w:pStyle w:val="Prrafodelista"/>
        <w:numPr>
          <w:ilvl w:val="2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3"/>
          <w:szCs w:val="23"/>
          <w:lang w:val="es-MX"/>
        </w:rPr>
      </w:pPr>
      <w:r>
        <w:rPr>
          <w:rFonts w:asciiTheme="minorHAnsi" w:hAnsiTheme="minorHAnsi" w:cstheme="minorHAnsi"/>
          <w:sz w:val="23"/>
          <w:szCs w:val="23"/>
          <w:lang w:val="es-MX"/>
        </w:rPr>
        <w:t>A la</w:t>
      </w:r>
      <w:r w:rsidR="00AD1C5A">
        <w:rPr>
          <w:rFonts w:asciiTheme="minorHAnsi" w:hAnsiTheme="minorHAnsi" w:cstheme="minorHAnsi"/>
          <w:sz w:val="23"/>
          <w:szCs w:val="23"/>
          <w:lang w:val="es-MX"/>
        </w:rPr>
        <w:t xml:space="preserve"> Gerencia </w:t>
      </w:r>
      <w:r w:rsidR="00640295">
        <w:rPr>
          <w:rFonts w:asciiTheme="minorHAnsi" w:hAnsiTheme="minorHAnsi" w:cstheme="minorHAnsi"/>
          <w:sz w:val="23"/>
          <w:szCs w:val="23"/>
          <w:lang w:val="es-MX"/>
        </w:rPr>
        <w:t>General</w:t>
      </w:r>
      <w:r w:rsidR="00AD1C5A">
        <w:rPr>
          <w:rFonts w:asciiTheme="minorHAnsi" w:hAnsiTheme="minorHAnsi" w:cstheme="minorHAnsi"/>
          <w:sz w:val="23"/>
          <w:szCs w:val="23"/>
          <w:lang w:val="es-MX"/>
        </w:rPr>
        <w:t xml:space="preserve"> la aplicación</w:t>
      </w:r>
      <w:r w:rsidR="00320E5B">
        <w:rPr>
          <w:rFonts w:asciiTheme="minorHAnsi" w:hAnsiTheme="minorHAnsi" w:cstheme="minorHAnsi"/>
          <w:sz w:val="23"/>
          <w:szCs w:val="23"/>
          <w:lang w:val="es-MX"/>
        </w:rPr>
        <w:t xml:space="preserve"> de la </w:t>
      </w:r>
      <w:r w:rsidR="00620340">
        <w:rPr>
          <w:rFonts w:asciiTheme="minorHAnsi" w:hAnsiTheme="minorHAnsi" w:cstheme="minorHAnsi"/>
          <w:sz w:val="23"/>
          <w:szCs w:val="23"/>
          <w:lang w:val="es-MX"/>
        </w:rPr>
        <w:t>advertencia</w:t>
      </w:r>
      <w:r w:rsidR="00320E5B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0E0ED7">
        <w:rPr>
          <w:rFonts w:asciiTheme="minorHAnsi" w:hAnsiTheme="minorHAnsi" w:cstheme="minorHAnsi"/>
          <w:sz w:val="23"/>
          <w:szCs w:val="23"/>
          <w:lang w:val="es-MX"/>
        </w:rPr>
        <w:t xml:space="preserve">mediante nota </w:t>
      </w:r>
      <w:r w:rsidR="00320E5B">
        <w:rPr>
          <w:rFonts w:asciiTheme="minorHAnsi" w:hAnsiTheme="minorHAnsi" w:cstheme="minorHAnsi"/>
          <w:sz w:val="23"/>
          <w:szCs w:val="23"/>
          <w:lang w:val="es-MX"/>
        </w:rPr>
        <w:t xml:space="preserve">a los responsables de los Objetivos PI-02, PI-04, PI-08, PCO-01 </w:t>
      </w:r>
      <w:r w:rsidR="000E0ED7">
        <w:rPr>
          <w:rFonts w:asciiTheme="minorHAnsi" w:hAnsiTheme="minorHAnsi" w:cstheme="minorHAnsi"/>
          <w:sz w:val="23"/>
          <w:szCs w:val="23"/>
          <w:lang w:val="es-MX"/>
        </w:rPr>
        <w:t xml:space="preserve">con copia al expediente personal </w:t>
      </w:r>
      <w:r w:rsidR="00D95C10">
        <w:rPr>
          <w:rFonts w:asciiTheme="minorHAnsi" w:hAnsiTheme="minorHAnsi" w:cstheme="minorHAnsi"/>
          <w:sz w:val="23"/>
          <w:szCs w:val="23"/>
          <w:lang w:val="es-MX"/>
        </w:rPr>
        <w:t xml:space="preserve">que </w:t>
      </w:r>
      <w:r w:rsidR="000E74CE" w:rsidRPr="00822F18">
        <w:rPr>
          <w:rFonts w:asciiTheme="minorHAnsi" w:hAnsiTheme="minorHAnsi" w:cstheme="minorHAnsi"/>
          <w:sz w:val="23"/>
          <w:szCs w:val="23"/>
          <w:lang w:val="es-MX"/>
        </w:rPr>
        <w:t>de</w:t>
      </w:r>
      <w:r w:rsidR="00D95C10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="000E74CE" w:rsidRPr="00822F18">
        <w:rPr>
          <w:rFonts w:asciiTheme="minorHAnsi" w:hAnsiTheme="minorHAnsi" w:cstheme="minorHAnsi"/>
          <w:sz w:val="23"/>
          <w:szCs w:val="23"/>
          <w:lang w:val="es-MX"/>
        </w:rPr>
        <w:t xml:space="preserve">volver a repetirse </w:t>
      </w:r>
      <w:r w:rsidR="00AD1C5A">
        <w:rPr>
          <w:rFonts w:asciiTheme="minorHAnsi" w:hAnsiTheme="minorHAnsi" w:cstheme="minorHAnsi"/>
          <w:sz w:val="23"/>
          <w:szCs w:val="23"/>
          <w:lang w:val="es-MX"/>
        </w:rPr>
        <w:t xml:space="preserve">una </w:t>
      </w:r>
      <w:r w:rsidR="000E74CE" w:rsidRPr="00822F18">
        <w:rPr>
          <w:rFonts w:asciiTheme="minorHAnsi" w:hAnsiTheme="minorHAnsi" w:cstheme="minorHAnsi"/>
          <w:sz w:val="23"/>
          <w:szCs w:val="23"/>
          <w:lang w:val="es-MX"/>
        </w:rPr>
        <w:t xml:space="preserve">situación </w:t>
      </w:r>
      <w:r w:rsidR="00AD1C5A">
        <w:rPr>
          <w:rFonts w:asciiTheme="minorHAnsi" w:hAnsiTheme="minorHAnsi" w:cstheme="minorHAnsi"/>
          <w:sz w:val="23"/>
          <w:szCs w:val="23"/>
          <w:lang w:val="es-MX"/>
        </w:rPr>
        <w:t xml:space="preserve">de incumplimiento </w:t>
      </w:r>
      <w:r w:rsidR="000E74CE" w:rsidRPr="00822F18">
        <w:rPr>
          <w:rFonts w:asciiTheme="minorHAnsi" w:hAnsiTheme="minorHAnsi" w:cstheme="minorHAnsi"/>
          <w:sz w:val="23"/>
          <w:szCs w:val="23"/>
          <w:lang w:val="es-MX"/>
        </w:rPr>
        <w:t>se aplicará lo que establece el Estatuto</w:t>
      </w:r>
      <w:r w:rsidR="00D95C10">
        <w:rPr>
          <w:rFonts w:asciiTheme="minorHAnsi" w:hAnsiTheme="minorHAnsi" w:cstheme="minorHAnsi"/>
          <w:sz w:val="23"/>
          <w:szCs w:val="23"/>
          <w:lang w:val="es-MX"/>
        </w:rPr>
        <w:t xml:space="preserve"> de</w:t>
      </w:r>
      <w:r w:rsidR="000E74CE" w:rsidRPr="00822F18">
        <w:rPr>
          <w:rFonts w:asciiTheme="minorHAnsi" w:hAnsiTheme="minorHAnsi" w:cstheme="minorHAnsi"/>
          <w:sz w:val="23"/>
          <w:szCs w:val="23"/>
          <w:lang w:val="es-MX"/>
        </w:rPr>
        <w:t xml:space="preserve"> personal en </w:t>
      </w:r>
      <w:r w:rsidR="00D95C10">
        <w:rPr>
          <w:rFonts w:asciiTheme="minorHAnsi" w:hAnsiTheme="minorHAnsi" w:cstheme="minorHAnsi"/>
          <w:sz w:val="23"/>
          <w:szCs w:val="23"/>
          <w:lang w:val="es-MX"/>
        </w:rPr>
        <w:t xml:space="preserve">su </w:t>
      </w:r>
      <w:r w:rsidR="000E74CE" w:rsidRPr="00822F18">
        <w:rPr>
          <w:rFonts w:asciiTheme="minorHAnsi" w:hAnsiTheme="minorHAnsi" w:cstheme="minorHAnsi"/>
          <w:sz w:val="23"/>
          <w:szCs w:val="23"/>
          <w:lang w:val="es-MX"/>
        </w:rPr>
        <w:t>artículo 46</w:t>
      </w:r>
      <w:r w:rsidR="00D95C10">
        <w:rPr>
          <w:rFonts w:asciiTheme="minorHAnsi" w:hAnsiTheme="minorHAnsi" w:cstheme="minorHAnsi"/>
          <w:sz w:val="23"/>
          <w:szCs w:val="23"/>
          <w:lang w:val="es-MX"/>
        </w:rPr>
        <w:t>,</w:t>
      </w:r>
      <w:r w:rsidR="000E74CE" w:rsidRPr="00822F18">
        <w:rPr>
          <w:rFonts w:asciiTheme="minorHAnsi" w:hAnsiTheme="minorHAnsi" w:cstheme="minorHAnsi"/>
          <w:sz w:val="23"/>
          <w:szCs w:val="23"/>
          <w:lang w:val="es-MX"/>
        </w:rPr>
        <w:t xml:space="preserve"> inciso a) Amonestación verbal o escrita del jefe inmediat</w:t>
      </w:r>
      <w:r w:rsidR="00AC3211">
        <w:rPr>
          <w:rFonts w:asciiTheme="minorHAnsi" w:hAnsiTheme="minorHAnsi" w:cstheme="minorHAnsi"/>
          <w:sz w:val="23"/>
          <w:szCs w:val="23"/>
          <w:lang w:val="es-MX"/>
        </w:rPr>
        <w:t xml:space="preserve">o o los superiores respectivos y así consecuentemente. </w:t>
      </w:r>
      <w:r w:rsidR="00B26B2D">
        <w:rPr>
          <w:rFonts w:asciiTheme="minorHAnsi" w:hAnsiTheme="minorHAnsi" w:cstheme="minorHAnsi"/>
          <w:sz w:val="23"/>
          <w:szCs w:val="23"/>
          <w:lang w:val="es-MX"/>
        </w:rPr>
        <w:t xml:space="preserve">Esto aprobado </w:t>
      </w:r>
      <w:r w:rsidR="007D5A00">
        <w:rPr>
          <w:rFonts w:asciiTheme="minorHAnsi" w:hAnsiTheme="minorHAnsi" w:cstheme="minorHAnsi"/>
          <w:sz w:val="23"/>
          <w:szCs w:val="23"/>
          <w:lang w:val="es-MX"/>
        </w:rPr>
        <w:t xml:space="preserve">en la Sesión 05-2016 del 12 de diciembre del 2016 del Comité de Planeamiento Estratégico y visto por la Junta Directiva en Sesión 10-2017 del  mes de febrero 2017. </w:t>
      </w:r>
      <w:r w:rsidR="00B26B2D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</w:p>
    <w:p w:rsidR="009D297F" w:rsidRDefault="009D297F" w:rsidP="009D297F">
      <w:pPr>
        <w:jc w:val="both"/>
        <w:rPr>
          <w:rFonts w:ascii="Calibri" w:hAnsi="Calibri" w:cs="Calibri"/>
        </w:rPr>
      </w:pPr>
    </w:p>
    <w:p w:rsidR="002A3D9D" w:rsidRDefault="00BD5538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  <w:proofErr w:type="spellStart"/>
      <w:r w:rsidRPr="006A2596">
        <w:rPr>
          <w:rFonts w:asciiTheme="minorHAnsi" w:hAnsiTheme="minorHAnsi" w:cstheme="minorHAnsi"/>
          <w:bCs/>
          <w:sz w:val="16"/>
          <w:szCs w:val="16"/>
          <w:lang w:val="es-CR"/>
        </w:rPr>
        <w:t>Mlm</w:t>
      </w:r>
      <w:proofErr w:type="spellEnd"/>
      <w:r w:rsidRPr="006A2596">
        <w:rPr>
          <w:rFonts w:asciiTheme="minorHAnsi" w:hAnsiTheme="minorHAnsi" w:cstheme="minorHAnsi"/>
          <w:bCs/>
          <w:sz w:val="16"/>
          <w:szCs w:val="16"/>
          <w:lang w:val="es-CR"/>
        </w:rPr>
        <w:t>/</w:t>
      </w:r>
      <w:proofErr w:type="spellStart"/>
      <w:r w:rsidR="006A2596">
        <w:rPr>
          <w:rFonts w:asciiTheme="minorHAnsi" w:hAnsiTheme="minorHAnsi" w:cstheme="minorHAnsi"/>
          <w:bCs/>
          <w:sz w:val="16"/>
          <w:szCs w:val="16"/>
          <w:lang w:val="es-CR"/>
        </w:rPr>
        <w:t>kab</w:t>
      </w:r>
      <w:proofErr w:type="spellEnd"/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93587" w:rsidRDefault="00A93587" w:rsidP="0011717B">
      <w:pPr>
        <w:jc w:val="both"/>
        <w:rPr>
          <w:rFonts w:asciiTheme="minorHAnsi" w:hAnsiTheme="minorHAnsi" w:cstheme="minorHAnsi"/>
          <w:bCs/>
          <w:sz w:val="16"/>
          <w:szCs w:val="16"/>
          <w:lang w:val="es-CR"/>
        </w:rPr>
      </w:pPr>
    </w:p>
    <w:p w:rsidR="00A41910" w:rsidRDefault="00A41910" w:rsidP="00A93587">
      <w:pPr>
        <w:pStyle w:val="Ttulo1"/>
        <w:jc w:val="center"/>
        <w:rPr>
          <w:sz w:val="144"/>
          <w:szCs w:val="144"/>
          <w:u w:val="single"/>
          <w:lang w:val="es-CR"/>
        </w:rPr>
      </w:pPr>
    </w:p>
    <w:p w:rsidR="00A41910" w:rsidRDefault="00A41910" w:rsidP="00A93587">
      <w:pPr>
        <w:pStyle w:val="Ttulo1"/>
        <w:jc w:val="center"/>
        <w:rPr>
          <w:sz w:val="36"/>
          <w:szCs w:val="36"/>
          <w:u w:val="single"/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P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7A582C" w:rsidRDefault="007A582C" w:rsidP="007A582C">
      <w:pPr>
        <w:rPr>
          <w:lang w:val="es-CR"/>
        </w:rPr>
      </w:pPr>
    </w:p>
    <w:p w:rsidR="00A93587" w:rsidRDefault="00A93587" w:rsidP="00A93587">
      <w:pPr>
        <w:pStyle w:val="Ttulo1"/>
        <w:jc w:val="center"/>
        <w:rPr>
          <w:sz w:val="144"/>
          <w:szCs w:val="144"/>
          <w:u w:val="single"/>
          <w:lang w:val="es-CR"/>
        </w:rPr>
      </w:pPr>
      <w:r w:rsidRPr="00A93587">
        <w:rPr>
          <w:sz w:val="144"/>
          <w:szCs w:val="144"/>
          <w:u w:val="single"/>
          <w:lang w:val="es-CR"/>
        </w:rPr>
        <w:t>Anexo 1</w:t>
      </w:r>
      <w:r>
        <w:rPr>
          <w:sz w:val="144"/>
          <w:szCs w:val="144"/>
          <w:u w:val="single"/>
          <w:lang w:val="es-CR"/>
        </w:rPr>
        <w:t xml:space="preserve"> </w:t>
      </w:r>
    </w:p>
    <w:p w:rsidR="00A93587" w:rsidRDefault="00A93587" w:rsidP="00A93587">
      <w:pPr>
        <w:rPr>
          <w:lang w:val="es-CR"/>
        </w:rPr>
      </w:pPr>
    </w:p>
    <w:p w:rsidR="00394AEB" w:rsidRDefault="00394AEB" w:rsidP="00A93587">
      <w:pPr>
        <w:rPr>
          <w:lang w:val="es-CR"/>
        </w:rPr>
      </w:pPr>
    </w:p>
    <w:p w:rsidR="00394AEB" w:rsidRDefault="00394AEB" w:rsidP="00A93587">
      <w:pPr>
        <w:rPr>
          <w:lang w:val="es-CR"/>
        </w:rPr>
      </w:pPr>
    </w:p>
    <w:p w:rsidR="00394AEB" w:rsidRDefault="00394AEB" w:rsidP="00A93587">
      <w:pPr>
        <w:rPr>
          <w:lang w:val="es-CR"/>
        </w:rPr>
      </w:pPr>
    </w:p>
    <w:p w:rsidR="00394AEB" w:rsidRDefault="00394AEB" w:rsidP="00A93587">
      <w:pPr>
        <w:rPr>
          <w:lang w:val="es-CR"/>
        </w:rPr>
      </w:pPr>
    </w:p>
    <w:p w:rsidR="00394AEB" w:rsidRDefault="00394AEB" w:rsidP="00A93587">
      <w:pPr>
        <w:rPr>
          <w:lang w:val="es-CR"/>
        </w:rPr>
      </w:pPr>
    </w:p>
    <w:p w:rsidR="00394AEB" w:rsidRDefault="00394AEB" w:rsidP="00A93587">
      <w:pPr>
        <w:rPr>
          <w:lang w:val="es-CR"/>
        </w:rPr>
      </w:pPr>
    </w:p>
    <w:p w:rsidR="00394AEB" w:rsidRDefault="00394AEB" w:rsidP="00A93587">
      <w:pPr>
        <w:rPr>
          <w:lang w:val="es-CR"/>
        </w:rPr>
      </w:pPr>
    </w:p>
    <w:p w:rsidR="00394AEB" w:rsidRDefault="00394AEB" w:rsidP="00A93587">
      <w:pPr>
        <w:rPr>
          <w:lang w:val="es-CR"/>
        </w:rPr>
      </w:pPr>
    </w:p>
    <w:p w:rsidR="00394AEB" w:rsidRDefault="00394AEB" w:rsidP="00A93587">
      <w:pPr>
        <w:rPr>
          <w:lang w:val="es-CR"/>
        </w:rPr>
      </w:pPr>
    </w:p>
    <w:p w:rsidR="00394AEB" w:rsidRDefault="00394AEB" w:rsidP="00A93587">
      <w:pPr>
        <w:rPr>
          <w:lang w:val="es-CR"/>
        </w:rPr>
      </w:pPr>
    </w:p>
    <w:p w:rsidR="00394AEB" w:rsidRPr="00A93587" w:rsidRDefault="00394AEB" w:rsidP="00A93587">
      <w:pPr>
        <w:rPr>
          <w:lang w:val="es-CR"/>
        </w:rPr>
      </w:pPr>
    </w:p>
    <w:p w:rsidR="00A93587" w:rsidRPr="00A93587" w:rsidRDefault="00A93587" w:rsidP="00A93587">
      <w:pPr>
        <w:rPr>
          <w:lang w:val="es-CR"/>
        </w:rPr>
      </w:pPr>
    </w:p>
    <w:sectPr w:rsidR="00A93587" w:rsidRPr="00A93587" w:rsidSect="00671763">
      <w:headerReference w:type="default" r:id="rId12"/>
      <w:footerReference w:type="default" r:id="rId13"/>
      <w:headerReference w:type="first" r:id="rId14"/>
      <w:pgSz w:w="12242" w:h="15842" w:code="1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B2" w:rsidRDefault="007F59B2">
      <w:r>
        <w:separator/>
      </w:r>
    </w:p>
  </w:endnote>
  <w:endnote w:type="continuationSeparator" w:id="0">
    <w:p w:rsidR="007F59B2" w:rsidRDefault="007F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B5" w:rsidRPr="00AE4C50" w:rsidRDefault="00D179B5" w:rsidP="00AE4C50">
    <w:pPr>
      <w:pStyle w:val="Piedepgina"/>
      <w:jc w:val="center"/>
      <w:rPr>
        <w:rFonts w:ascii="Garamond" w:hAnsi="Garamond"/>
        <w:sz w:val="20"/>
        <w:szCs w:val="20"/>
      </w:rPr>
    </w:pPr>
    <w:r w:rsidRPr="00AE4C50">
      <w:rPr>
        <w:rStyle w:val="Nmerodepgina"/>
        <w:rFonts w:ascii="Garamond" w:hAnsi="Garamond"/>
        <w:sz w:val="20"/>
        <w:szCs w:val="20"/>
      </w:rPr>
      <w:fldChar w:fldCharType="begin"/>
    </w:r>
    <w:r w:rsidRPr="00AE4C50">
      <w:rPr>
        <w:rStyle w:val="Nmerodepgina"/>
        <w:rFonts w:ascii="Garamond" w:hAnsi="Garamond"/>
        <w:sz w:val="20"/>
        <w:szCs w:val="20"/>
      </w:rPr>
      <w:instrText xml:space="preserve"> PAGE </w:instrText>
    </w:r>
    <w:r w:rsidRPr="00AE4C50">
      <w:rPr>
        <w:rStyle w:val="Nmerodepgina"/>
        <w:rFonts w:ascii="Garamond" w:hAnsi="Garamond"/>
        <w:sz w:val="20"/>
        <w:szCs w:val="20"/>
      </w:rPr>
      <w:fldChar w:fldCharType="separate"/>
    </w:r>
    <w:r w:rsidR="007831C1">
      <w:rPr>
        <w:rStyle w:val="Nmerodepgina"/>
        <w:rFonts w:ascii="Garamond" w:hAnsi="Garamond"/>
        <w:noProof/>
        <w:sz w:val="20"/>
        <w:szCs w:val="20"/>
      </w:rPr>
      <w:t>15</w:t>
    </w:r>
    <w:r w:rsidRPr="00AE4C50">
      <w:rPr>
        <w:rStyle w:val="Nmerodepgina"/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B2" w:rsidRDefault="007F59B2">
      <w:r>
        <w:separator/>
      </w:r>
    </w:p>
  </w:footnote>
  <w:footnote w:type="continuationSeparator" w:id="0">
    <w:p w:rsidR="007F59B2" w:rsidRDefault="007F5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B5" w:rsidRDefault="00D179B5">
    <w:pPr>
      <w:pStyle w:val="Encabezado"/>
    </w:pPr>
    <w:r>
      <w:rPr>
        <w:noProof/>
      </w:rPr>
      <w:drawing>
        <wp:inline distT="0" distB="0" distL="0" distR="0" wp14:anchorId="2147D2DA" wp14:editId="5B70B3D6">
          <wp:extent cx="5613400" cy="606425"/>
          <wp:effectExtent l="0" t="0" r="6350" b="3175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ctu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79B5" w:rsidRPr="00751215" w:rsidRDefault="00D179B5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B5" w:rsidRDefault="00D179B5">
    <w:pPr>
      <w:pStyle w:val="Encabezado"/>
    </w:pPr>
    <w:r>
      <w:rPr>
        <w:noProof/>
      </w:rPr>
      <w:drawing>
        <wp:inline distT="0" distB="0" distL="0" distR="0" wp14:anchorId="0DAFECE4" wp14:editId="311F99A1">
          <wp:extent cx="5613400" cy="606425"/>
          <wp:effectExtent l="0" t="0" r="6350" b="3175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ctu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D8F"/>
    <w:multiLevelType w:val="hybridMultilevel"/>
    <w:tmpl w:val="961AE72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A75AF"/>
    <w:multiLevelType w:val="hybridMultilevel"/>
    <w:tmpl w:val="961AE72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40D5A"/>
    <w:multiLevelType w:val="multilevel"/>
    <w:tmpl w:val="5D7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C3F4854"/>
    <w:multiLevelType w:val="hybridMultilevel"/>
    <w:tmpl w:val="EC16ABD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645A3"/>
    <w:multiLevelType w:val="multilevel"/>
    <w:tmpl w:val="5D7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09D3168"/>
    <w:multiLevelType w:val="hybridMultilevel"/>
    <w:tmpl w:val="484E504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B15F5"/>
    <w:multiLevelType w:val="multilevel"/>
    <w:tmpl w:val="75304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0F00775"/>
    <w:multiLevelType w:val="hybridMultilevel"/>
    <w:tmpl w:val="AEF2E5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107E3"/>
    <w:multiLevelType w:val="multilevel"/>
    <w:tmpl w:val="5D7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6B016BE"/>
    <w:multiLevelType w:val="multilevel"/>
    <w:tmpl w:val="5D7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ACF1924"/>
    <w:multiLevelType w:val="hybridMultilevel"/>
    <w:tmpl w:val="FFCCF49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C36B9"/>
    <w:multiLevelType w:val="hybridMultilevel"/>
    <w:tmpl w:val="082A8D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515F8"/>
    <w:multiLevelType w:val="multilevel"/>
    <w:tmpl w:val="5D7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384792E"/>
    <w:multiLevelType w:val="hybridMultilevel"/>
    <w:tmpl w:val="5AD291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94B2E"/>
    <w:multiLevelType w:val="multilevel"/>
    <w:tmpl w:val="5D7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F6D3F5B"/>
    <w:multiLevelType w:val="hybridMultilevel"/>
    <w:tmpl w:val="78B4F59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12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13"/>
  </w:num>
  <w:num w:numId="11">
    <w:abstractNumId w:val="5"/>
  </w:num>
  <w:num w:numId="12">
    <w:abstractNumId w:val="15"/>
  </w:num>
  <w:num w:numId="13">
    <w:abstractNumId w:val="3"/>
  </w:num>
  <w:num w:numId="14">
    <w:abstractNumId w:val="14"/>
  </w:num>
  <w:num w:numId="15">
    <w:abstractNumId w:val="9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DF"/>
    <w:rsid w:val="00000690"/>
    <w:rsid w:val="0000252F"/>
    <w:rsid w:val="0000434A"/>
    <w:rsid w:val="000046CE"/>
    <w:rsid w:val="000073A2"/>
    <w:rsid w:val="00007F4F"/>
    <w:rsid w:val="00013A1E"/>
    <w:rsid w:val="00013D1B"/>
    <w:rsid w:val="00015474"/>
    <w:rsid w:val="00016856"/>
    <w:rsid w:val="00016B1B"/>
    <w:rsid w:val="0001773F"/>
    <w:rsid w:val="0002079E"/>
    <w:rsid w:val="00021CA8"/>
    <w:rsid w:val="00022621"/>
    <w:rsid w:val="0002265E"/>
    <w:rsid w:val="000241ED"/>
    <w:rsid w:val="00025799"/>
    <w:rsid w:val="00025BC9"/>
    <w:rsid w:val="000308C0"/>
    <w:rsid w:val="00030973"/>
    <w:rsid w:val="000309E6"/>
    <w:rsid w:val="00031F09"/>
    <w:rsid w:val="00032552"/>
    <w:rsid w:val="00032A69"/>
    <w:rsid w:val="000340DA"/>
    <w:rsid w:val="00034DC1"/>
    <w:rsid w:val="00036100"/>
    <w:rsid w:val="00036CF5"/>
    <w:rsid w:val="000371A7"/>
    <w:rsid w:val="00037293"/>
    <w:rsid w:val="000372B6"/>
    <w:rsid w:val="000400BF"/>
    <w:rsid w:val="0004014D"/>
    <w:rsid w:val="000403FA"/>
    <w:rsid w:val="0004154A"/>
    <w:rsid w:val="00041604"/>
    <w:rsid w:val="00041BB3"/>
    <w:rsid w:val="00041D9C"/>
    <w:rsid w:val="00042300"/>
    <w:rsid w:val="00042B74"/>
    <w:rsid w:val="00045312"/>
    <w:rsid w:val="00046090"/>
    <w:rsid w:val="000469C4"/>
    <w:rsid w:val="00046BDE"/>
    <w:rsid w:val="00046C24"/>
    <w:rsid w:val="00046F0E"/>
    <w:rsid w:val="00047548"/>
    <w:rsid w:val="00052B62"/>
    <w:rsid w:val="00053316"/>
    <w:rsid w:val="00053A20"/>
    <w:rsid w:val="00053EA6"/>
    <w:rsid w:val="0005427C"/>
    <w:rsid w:val="0005457D"/>
    <w:rsid w:val="00055A59"/>
    <w:rsid w:val="00055EAB"/>
    <w:rsid w:val="000566FC"/>
    <w:rsid w:val="000568B5"/>
    <w:rsid w:val="00057970"/>
    <w:rsid w:val="000601FC"/>
    <w:rsid w:val="000609F4"/>
    <w:rsid w:val="00060BE9"/>
    <w:rsid w:val="00061469"/>
    <w:rsid w:val="00063031"/>
    <w:rsid w:val="00063AD2"/>
    <w:rsid w:val="00063D32"/>
    <w:rsid w:val="0006405B"/>
    <w:rsid w:val="00065A9C"/>
    <w:rsid w:val="00065C1F"/>
    <w:rsid w:val="0007092F"/>
    <w:rsid w:val="00071F44"/>
    <w:rsid w:val="00073956"/>
    <w:rsid w:val="00075577"/>
    <w:rsid w:val="00076DED"/>
    <w:rsid w:val="00077DA6"/>
    <w:rsid w:val="000802EC"/>
    <w:rsid w:val="00080F88"/>
    <w:rsid w:val="00082318"/>
    <w:rsid w:val="0008494D"/>
    <w:rsid w:val="0008664F"/>
    <w:rsid w:val="000872A3"/>
    <w:rsid w:val="0008754D"/>
    <w:rsid w:val="00091569"/>
    <w:rsid w:val="00092529"/>
    <w:rsid w:val="00093CCC"/>
    <w:rsid w:val="000943B5"/>
    <w:rsid w:val="000951A7"/>
    <w:rsid w:val="0009560C"/>
    <w:rsid w:val="00095BD8"/>
    <w:rsid w:val="000965F1"/>
    <w:rsid w:val="0009715F"/>
    <w:rsid w:val="0009734C"/>
    <w:rsid w:val="000A069C"/>
    <w:rsid w:val="000A4655"/>
    <w:rsid w:val="000A4A16"/>
    <w:rsid w:val="000A6947"/>
    <w:rsid w:val="000A6A1D"/>
    <w:rsid w:val="000A740A"/>
    <w:rsid w:val="000A7642"/>
    <w:rsid w:val="000B0383"/>
    <w:rsid w:val="000B1A38"/>
    <w:rsid w:val="000B394A"/>
    <w:rsid w:val="000B433B"/>
    <w:rsid w:val="000B54DE"/>
    <w:rsid w:val="000B5BAE"/>
    <w:rsid w:val="000B64EE"/>
    <w:rsid w:val="000B6B61"/>
    <w:rsid w:val="000B6CDA"/>
    <w:rsid w:val="000C06B2"/>
    <w:rsid w:val="000C0A70"/>
    <w:rsid w:val="000C1A79"/>
    <w:rsid w:val="000C5F9D"/>
    <w:rsid w:val="000C7287"/>
    <w:rsid w:val="000C74FB"/>
    <w:rsid w:val="000D056A"/>
    <w:rsid w:val="000D0C20"/>
    <w:rsid w:val="000D1074"/>
    <w:rsid w:val="000D150B"/>
    <w:rsid w:val="000D1A91"/>
    <w:rsid w:val="000D1B00"/>
    <w:rsid w:val="000D1FCC"/>
    <w:rsid w:val="000D2833"/>
    <w:rsid w:val="000D29E6"/>
    <w:rsid w:val="000D3392"/>
    <w:rsid w:val="000D3C1F"/>
    <w:rsid w:val="000D4495"/>
    <w:rsid w:val="000D5D4A"/>
    <w:rsid w:val="000D63A7"/>
    <w:rsid w:val="000E0ED7"/>
    <w:rsid w:val="000E1179"/>
    <w:rsid w:val="000E1853"/>
    <w:rsid w:val="000E305D"/>
    <w:rsid w:val="000E3577"/>
    <w:rsid w:val="000E686D"/>
    <w:rsid w:val="000E74CE"/>
    <w:rsid w:val="000F029F"/>
    <w:rsid w:val="000F165C"/>
    <w:rsid w:val="000F1D9D"/>
    <w:rsid w:val="000F3A00"/>
    <w:rsid w:val="000F451E"/>
    <w:rsid w:val="000F4988"/>
    <w:rsid w:val="000F4BE3"/>
    <w:rsid w:val="000F52AC"/>
    <w:rsid w:val="000F7DEE"/>
    <w:rsid w:val="00100320"/>
    <w:rsid w:val="00101B37"/>
    <w:rsid w:val="00102391"/>
    <w:rsid w:val="0010261C"/>
    <w:rsid w:val="001033F8"/>
    <w:rsid w:val="0010408F"/>
    <w:rsid w:val="001042D6"/>
    <w:rsid w:val="00104498"/>
    <w:rsid w:val="0010457A"/>
    <w:rsid w:val="00104803"/>
    <w:rsid w:val="00104B99"/>
    <w:rsid w:val="00105B5C"/>
    <w:rsid w:val="001066DF"/>
    <w:rsid w:val="00107F66"/>
    <w:rsid w:val="00110805"/>
    <w:rsid w:val="0011160A"/>
    <w:rsid w:val="0011218A"/>
    <w:rsid w:val="0011250C"/>
    <w:rsid w:val="00112E61"/>
    <w:rsid w:val="001132C1"/>
    <w:rsid w:val="00114E8E"/>
    <w:rsid w:val="001156F2"/>
    <w:rsid w:val="00115ABA"/>
    <w:rsid w:val="001167E4"/>
    <w:rsid w:val="0011717B"/>
    <w:rsid w:val="0011795C"/>
    <w:rsid w:val="00117F19"/>
    <w:rsid w:val="00121152"/>
    <w:rsid w:val="001215DC"/>
    <w:rsid w:val="001216FA"/>
    <w:rsid w:val="001225BF"/>
    <w:rsid w:val="001232DA"/>
    <w:rsid w:val="0012377D"/>
    <w:rsid w:val="00123FA2"/>
    <w:rsid w:val="0012410E"/>
    <w:rsid w:val="00124B09"/>
    <w:rsid w:val="00125961"/>
    <w:rsid w:val="00125A8C"/>
    <w:rsid w:val="00127070"/>
    <w:rsid w:val="001300FD"/>
    <w:rsid w:val="00130103"/>
    <w:rsid w:val="0013078C"/>
    <w:rsid w:val="001323EE"/>
    <w:rsid w:val="0013591D"/>
    <w:rsid w:val="00136308"/>
    <w:rsid w:val="0013689B"/>
    <w:rsid w:val="00136BAA"/>
    <w:rsid w:val="00136CE0"/>
    <w:rsid w:val="00136F2A"/>
    <w:rsid w:val="00136F33"/>
    <w:rsid w:val="001407FE"/>
    <w:rsid w:val="00141265"/>
    <w:rsid w:val="0014728A"/>
    <w:rsid w:val="00150B73"/>
    <w:rsid w:val="00150E6E"/>
    <w:rsid w:val="00151F49"/>
    <w:rsid w:val="001524F7"/>
    <w:rsid w:val="00153797"/>
    <w:rsid w:val="00154974"/>
    <w:rsid w:val="00155788"/>
    <w:rsid w:val="00157769"/>
    <w:rsid w:val="0016070C"/>
    <w:rsid w:val="001609B2"/>
    <w:rsid w:val="00160A5B"/>
    <w:rsid w:val="00161142"/>
    <w:rsid w:val="001615ED"/>
    <w:rsid w:val="001626FB"/>
    <w:rsid w:val="00163A1B"/>
    <w:rsid w:val="00164204"/>
    <w:rsid w:val="0016529E"/>
    <w:rsid w:val="0016543E"/>
    <w:rsid w:val="001714BE"/>
    <w:rsid w:val="001726DE"/>
    <w:rsid w:val="0017341A"/>
    <w:rsid w:val="0017391F"/>
    <w:rsid w:val="00173C14"/>
    <w:rsid w:val="00173C40"/>
    <w:rsid w:val="00174C8E"/>
    <w:rsid w:val="00174C8F"/>
    <w:rsid w:val="00175D06"/>
    <w:rsid w:val="001763B1"/>
    <w:rsid w:val="00176D20"/>
    <w:rsid w:val="001771EC"/>
    <w:rsid w:val="00183694"/>
    <w:rsid w:val="0018528C"/>
    <w:rsid w:val="00185405"/>
    <w:rsid w:val="00185454"/>
    <w:rsid w:val="00185703"/>
    <w:rsid w:val="00185813"/>
    <w:rsid w:val="00185BF4"/>
    <w:rsid w:val="00186694"/>
    <w:rsid w:val="00186738"/>
    <w:rsid w:val="00186C5E"/>
    <w:rsid w:val="00187630"/>
    <w:rsid w:val="00191C8A"/>
    <w:rsid w:val="00191DD3"/>
    <w:rsid w:val="001922CB"/>
    <w:rsid w:val="00192721"/>
    <w:rsid w:val="00192FCF"/>
    <w:rsid w:val="00193BA3"/>
    <w:rsid w:val="0019570E"/>
    <w:rsid w:val="001A01A9"/>
    <w:rsid w:val="001A0803"/>
    <w:rsid w:val="001A0942"/>
    <w:rsid w:val="001A2528"/>
    <w:rsid w:val="001A2E1D"/>
    <w:rsid w:val="001A3387"/>
    <w:rsid w:val="001A383D"/>
    <w:rsid w:val="001A3E59"/>
    <w:rsid w:val="001A470B"/>
    <w:rsid w:val="001A493A"/>
    <w:rsid w:val="001B019B"/>
    <w:rsid w:val="001B2DE6"/>
    <w:rsid w:val="001B3650"/>
    <w:rsid w:val="001B385B"/>
    <w:rsid w:val="001B436D"/>
    <w:rsid w:val="001B4443"/>
    <w:rsid w:val="001B6472"/>
    <w:rsid w:val="001B6508"/>
    <w:rsid w:val="001B7589"/>
    <w:rsid w:val="001C013A"/>
    <w:rsid w:val="001C0249"/>
    <w:rsid w:val="001C056F"/>
    <w:rsid w:val="001C0637"/>
    <w:rsid w:val="001C1B40"/>
    <w:rsid w:val="001C1DF5"/>
    <w:rsid w:val="001C38AC"/>
    <w:rsid w:val="001C3AC8"/>
    <w:rsid w:val="001C4164"/>
    <w:rsid w:val="001C6734"/>
    <w:rsid w:val="001C69A7"/>
    <w:rsid w:val="001C6C8F"/>
    <w:rsid w:val="001C797F"/>
    <w:rsid w:val="001D0AEE"/>
    <w:rsid w:val="001D1A5C"/>
    <w:rsid w:val="001D223B"/>
    <w:rsid w:val="001D2B07"/>
    <w:rsid w:val="001D3EB7"/>
    <w:rsid w:val="001D44CC"/>
    <w:rsid w:val="001D45C1"/>
    <w:rsid w:val="001D496C"/>
    <w:rsid w:val="001D4A4D"/>
    <w:rsid w:val="001D5834"/>
    <w:rsid w:val="001D6E42"/>
    <w:rsid w:val="001D71AC"/>
    <w:rsid w:val="001E0B77"/>
    <w:rsid w:val="001E4723"/>
    <w:rsid w:val="001E4B8C"/>
    <w:rsid w:val="001E5908"/>
    <w:rsid w:val="001E6C52"/>
    <w:rsid w:val="001E7326"/>
    <w:rsid w:val="001E78EF"/>
    <w:rsid w:val="001F0A15"/>
    <w:rsid w:val="001F4382"/>
    <w:rsid w:val="001F44C7"/>
    <w:rsid w:val="001F583B"/>
    <w:rsid w:val="001F71C2"/>
    <w:rsid w:val="0020026D"/>
    <w:rsid w:val="002009B6"/>
    <w:rsid w:val="00200DE5"/>
    <w:rsid w:val="00201831"/>
    <w:rsid w:val="00201B05"/>
    <w:rsid w:val="00202426"/>
    <w:rsid w:val="00202485"/>
    <w:rsid w:val="00202D06"/>
    <w:rsid w:val="00202D68"/>
    <w:rsid w:val="0020324E"/>
    <w:rsid w:val="0020370C"/>
    <w:rsid w:val="00203A3A"/>
    <w:rsid w:val="00204994"/>
    <w:rsid w:val="002057CF"/>
    <w:rsid w:val="0020693A"/>
    <w:rsid w:val="00210272"/>
    <w:rsid w:val="002102E9"/>
    <w:rsid w:val="002108AF"/>
    <w:rsid w:val="00210E82"/>
    <w:rsid w:val="0021102F"/>
    <w:rsid w:val="0021127E"/>
    <w:rsid w:val="00211345"/>
    <w:rsid w:val="00211506"/>
    <w:rsid w:val="0021244F"/>
    <w:rsid w:val="00215393"/>
    <w:rsid w:val="00216539"/>
    <w:rsid w:val="002166AC"/>
    <w:rsid w:val="00217E05"/>
    <w:rsid w:val="00217EF4"/>
    <w:rsid w:val="002236E6"/>
    <w:rsid w:val="002243DD"/>
    <w:rsid w:val="00225DBA"/>
    <w:rsid w:val="002269DB"/>
    <w:rsid w:val="002309DE"/>
    <w:rsid w:val="002310F6"/>
    <w:rsid w:val="0023111E"/>
    <w:rsid w:val="00232004"/>
    <w:rsid w:val="0023226B"/>
    <w:rsid w:val="002333D5"/>
    <w:rsid w:val="00235FAA"/>
    <w:rsid w:val="00236D30"/>
    <w:rsid w:val="00237020"/>
    <w:rsid w:val="0023764D"/>
    <w:rsid w:val="002378CB"/>
    <w:rsid w:val="00237CEA"/>
    <w:rsid w:val="002406F1"/>
    <w:rsid w:val="00242163"/>
    <w:rsid w:val="002427A7"/>
    <w:rsid w:val="002437A5"/>
    <w:rsid w:val="002438E4"/>
    <w:rsid w:val="00244460"/>
    <w:rsid w:val="0024541C"/>
    <w:rsid w:val="00245CFB"/>
    <w:rsid w:val="00245DD9"/>
    <w:rsid w:val="002472A7"/>
    <w:rsid w:val="00247722"/>
    <w:rsid w:val="0024789B"/>
    <w:rsid w:val="00250C83"/>
    <w:rsid w:val="00250CEB"/>
    <w:rsid w:val="00250E71"/>
    <w:rsid w:val="00250E95"/>
    <w:rsid w:val="00251B89"/>
    <w:rsid w:val="00252848"/>
    <w:rsid w:val="0025387A"/>
    <w:rsid w:val="00253D55"/>
    <w:rsid w:val="00253FB0"/>
    <w:rsid w:val="002542B4"/>
    <w:rsid w:val="002545EC"/>
    <w:rsid w:val="00255702"/>
    <w:rsid w:val="00256A6D"/>
    <w:rsid w:val="0025777A"/>
    <w:rsid w:val="00257AC1"/>
    <w:rsid w:val="00257AFA"/>
    <w:rsid w:val="00260D1F"/>
    <w:rsid w:val="00261781"/>
    <w:rsid w:val="00264CD7"/>
    <w:rsid w:val="002654F8"/>
    <w:rsid w:val="00265FAE"/>
    <w:rsid w:val="00266E43"/>
    <w:rsid w:val="00270CB6"/>
    <w:rsid w:val="00271727"/>
    <w:rsid w:val="00271D71"/>
    <w:rsid w:val="00271FDC"/>
    <w:rsid w:val="002731DF"/>
    <w:rsid w:val="002738F4"/>
    <w:rsid w:val="002752FB"/>
    <w:rsid w:val="00275630"/>
    <w:rsid w:val="0027573C"/>
    <w:rsid w:val="002815C2"/>
    <w:rsid w:val="00282544"/>
    <w:rsid w:val="002837D1"/>
    <w:rsid w:val="0028477F"/>
    <w:rsid w:val="00285E74"/>
    <w:rsid w:val="00290B02"/>
    <w:rsid w:val="00290F87"/>
    <w:rsid w:val="002910C8"/>
    <w:rsid w:val="00291415"/>
    <w:rsid w:val="0029144B"/>
    <w:rsid w:val="00291CF7"/>
    <w:rsid w:val="0029262C"/>
    <w:rsid w:val="00292C70"/>
    <w:rsid w:val="00293118"/>
    <w:rsid w:val="00294D43"/>
    <w:rsid w:val="00296503"/>
    <w:rsid w:val="002969F2"/>
    <w:rsid w:val="00296D30"/>
    <w:rsid w:val="00297506"/>
    <w:rsid w:val="0029761D"/>
    <w:rsid w:val="002A0A6B"/>
    <w:rsid w:val="002A1BBC"/>
    <w:rsid w:val="002A1F3E"/>
    <w:rsid w:val="002A25C6"/>
    <w:rsid w:val="002A2D73"/>
    <w:rsid w:val="002A30EB"/>
    <w:rsid w:val="002A3D9D"/>
    <w:rsid w:val="002A5836"/>
    <w:rsid w:val="002A59AF"/>
    <w:rsid w:val="002A5C93"/>
    <w:rsid w:val="002B0CF7"/>
    <w:rsid w:val="002B112B"/>
    <w:rsid w:val="002B12AD"/>
    <w:rsid w:val="002B2E91"/>
    <w:rsid w:val="002B64AE"/>
    <w:rsid w:val="002B6B3D"/>
    <w:rsid w:val="002C04EB"/>
    <w:rsid w:val="002C09CB"/>
    <w:rsid w:val="002C1382"/>
    <w:rsid w:val="002C1580"/>
    <w:rsid w:val="002C1C0E"/>
    <w:rsid w:val="002C2BC6"/>
    <w:rsid w:val="002C2E60"/>
    <w:rsid w:val="002C2ED6"/>
    <w:rsid w:val="002C3D31"/>
    <w:rsid w:val="002C4E8F"/>
    <w:rsid w:val="002C68E5"/>
    <w:rsid w:val="002C7372"/>
    <w:rsid w:val="002D005F"/>
    <w:rsid w:val="002D0BA1"/>
    <w:rsid w:val="002D202B"/>
    <w:rsid w:val="002D24B9"/>
    <w:rsid w:val="002D466B"/>
    <w:rsid w:val="002D4F9B"/>
    <w:rsid w:val="002D5C15"/>
    <w:rsid w:val="002D655D"/>
    <w:rsid w:val="002D75AE"/>
    <w:rsid w:val="002D76FF"/>
    <w:rsid w:val="002D7962"/>
    <w:rsid w:val="002E079B"/>
    <w:rsid w:val="002E08E6"/>
    <w:rsid w:val="002E18AE"/>
    <w:rsid w:val="002E1AD9"/>
    <w:rsid w:val="002E1C90"/>
    <w:rsid w:val="002E385A"/>
    <w:rsid w:val="002E3C7D"/>
    <w:rsid w:val="002E628A"/>
    <w:rsid w:val="002E635F"/>
    <w:rsid w:val="002E676D"/>
    <w:rsid w:val="002E6777"/>
    <w:rsid w:val="002E6D6E"/>
    <w:rsid w:val="002E7208"/>
    <w:rsid w:val="002E7796"/>
    <w:rsid w:val="002F1BD6"/>
    <w:rsid w:val="002F22A9"/>
    <w:rsid w:val="002F2C3C"/>
    <w:rsid w:val="002F31C4"/>
    <w:rsid w:val="002F31ED"/>
    <w:rsid w:val="002F331A"/>
    <w:rsid w:val="002F5586"/>
    <w:rsid w:val="002F5EA5"/>
    <w:rsid w:val="002F6B0F"/>
    <w:rsid w:val="002F6D98"/>
    <w:rsid w:val="002F70D1"/>
    <w:rsid w:val="0030137B"/>
    <w:rsid w:val="00301496"/>
    <w:rsid w:val="0030194E"/>
    <w:rsid w:val="00301AE7"/>
    <w:rsid w:val="0030250C"/>
    <w:rsid w:val="00303A30"/>
    <w:rsid w:val="00304244"/>
    <w:rsid w:val="00304A43"/>
    <w:rsid w:val="00305151"/>
    <w:rsid w:val="00307201"/>
    <w:rsid w:val="0031029D"/>
    <w:rsid w:val="0031413E"/>
    <w:rsid w:val="003169E3"/>
    <w:rsid w:val="00316F96"/>
    <w:rsid w:val="003174A9"/>
    <w:rsid w:val="00320E5B"/>
    <w:rsid w:val="00321343"/>
    <w:rsid w:val="00321BB7"/>
    <w:rsid w:val="00321F0C"/>
    <w:rsid w:val="003227F0"/>
    <w:rsid w:val="0032353B"/>
    <w:rsid w:val="00323671"/>
    <w:rsid w:val="0032422B"/>
    <w:rsid w:val="003255E2"/>
    <w:rsid w:val="00325B8F"/>
    <w:rsid w:val="0032627F"/>
    <w:rsid w:val="00326735"/>
    <w:rsid w:val="00326F07"/>
    <w:rsid w:val="003271DC"/>
    <w:rsid w:val="00330160"/>
    <w:rsid w:val="00331C7F"/>
    <w:rsid w:val="00333E70"/>
    <w:rsid w:val="00334269"/>
    <w:rsid w:val="003346D9"/>
    <w:rsid w:val="00335635"/>
    <w:rsid w:val="00336D6E"/>
    <w:rsid w:val="0034097A"/>
    <w:rsid w:val="0034195B"/>
    <w:rsid w:val="00341E38"/>
    <w:rsid w:val="003426BD"/>
    <w:rsid w:val="00343060"/>
    <w:rsid w:val="003443C7"/>
    <w:rsid w:val="00344E11"/>
    <w:rsid w:val="00345FA3"/>
    <w:rsid w:val="003467D9"/>
    <w:rsid w:val="00350D80"/>
    <w:rsid w:val="00351DBD"/>
    <w:rsid w:val="003524F4"/>
    <w:rsid w:val="00352FF0"/>
    <w:rsid w:val="00354A1E"/>
    <w:rsid w:val="0035542A"/>
    <w:rsid w:val="00355800"/>
    <w:rsid w:val="00356EDA"/>
    <w:rsid w:val="0036057B"/>
    <w:rsid w:val="00360C72"/>
    <w:rsid w:val="00360E25"/>
    <w:rsid w:val="003615E8"/>
    <w:rsid w:val="00362BBD"/>
    <w:rsid w:val="0036309C"/>
    <w:rsid w:val="00365A7B"/>
    <w:rsid w:val="00366309"/>
    <w:rsid w:val="00366A48"/>
    <w:rsid w:val="003670CD"/>
    <w:rsid w:val="00371580"/>
    <w:rsid w:val="003725B0"/>
    <w:rsid w:val="003733A4"/>
    <w:rsid w:val="003757A5"/>
    <w:rsid w:val="00375AE1"/>
    <w:rsid w:val="003765EB"/>
    <w:rsid w:val="0038117F"/>
    <w:rsid w:val="00381382"/>
    <w:rsid w:val="0038344F"/>
    <w:rsid w:val="00386420"/>
    <w:rsid w:val="00386832"/>
    <w:rsid w:val="003874D9"/>
    <w:rsid w:val="0039078D"/>
    <w:rsid w:val="003907AB"/>
    <w:rsid w:val="00393854"/>
    <w:rsid w:val="00394AEB"/>
    <w:rsid w:val="00396424"/>
    <w:rsid w:val="003965CF"/>
    <w:rsid w:val="00396B1A"/>
    <w:rsid w:val="003A18E5"/>
    <w:rsid w:val="003A2840"/>
    <w:rsid w:val="003A2F39"/>
    <w:rsid w:val="003A4B60"/>
    <w:rsid w:val="003A4D3A"/>
    <w:rsid w:val="003A5714"/>
    <w:rsid w:val="003B08E3"/>
    <w:rsid w:val="003B15A5"/>
    <w:rsid w:val="003B2EC8"/>
    <w:rsid w:val="003B3B9F"/>
    <w:rsid w:val="003B4163"/>
    <w:rsid w:val="003B4AD0"/>
    <w:rsid w:val="003B5251"/>
    <w:rsid w:val="003B5AA6"/>
    <w:rsid w:val="003B66FA"/>
    <w:rsid w:val="003B6F7A"/>
    <w:rsid w:val="003B7ABB"/>
    <w:rsid w:val="003C039E"/>
    <w:rsid w:val="003C0DD3"/>
    <w:rsid w:val="003C123C"/>
    <w:rsid w:val="003C1852"/>
    <w:rsid w:val="003C2601"/>
    <w:rsid w:val="003C35BC"/>
    <w:rsid w:val="003C3A87"/>
    <w:rsid w:val="003C3B80"/>
    <w:rsid w:val="003C43D0"/>
    <w:rsid w:val="003C469B"/>
    <w:rsid w:val="003C667C"/>
    <w:rsid w:val="003D004D"/>
    <w:rsid w:val="003D0091"/>
    <w:rsid w:val="003D11A7"/>
    <w:rsid w:val="003D16B5"/>
    <w:rsid w:val="003D2F1D"/>
    <w:rsid w:val="003D3345"/>
    <w:rsid w:val="003D40DE"/>
    <w:rsid w:val="003D4E85"/>
    <w:rsid w:val="003D6DBE"/>
    <w:rsid w:val="003D7997"/>
    <w:rsid w:val="003E2016"/>
    <w:rsid w:val="003E2E92"/>
    <w:rsid w:val="003E2FE4"/>
    <w:rsid w:val="003E471C"/>
    <w:rsid w:val="003E53ED"/>
    <w:rsid w:val="003E544D"/>
    <w:rsid w:val="003E69CB"/>
    <w:rsid w:val="003E7E1C"/>
    <w:rsid w:val="003F02B7"/>
    <w:rsid w:val="003F199E"/>
    <w:rsid w:val="003F23FA"/>
    <w:rsid w:val="003F2514"/>
    <w:rsid w:val="003F2F84"/>
    <w:rsid w:val="003F3876"/>
    <w:rsid w:val="003F40E1"/>
    <w:rsid w:val="003F422C"/>
    <w:rsid w:val="003F45ED"/>
    <w:rsid w:val="003F4A77"/>
    <w:rsid w:val="003F612B"/>
    <w:rsid w:val="00401EB8"/>
    <w:rsid w:val="00401FDB"/>
    <w:rsid w:val="00402C63"/>
    <w:rsid w:val="0040383D"/>
    <w:rsid w:val="004047E4"/>
    <w:rsid w:val="00404BCF"/>
    <w:rsid w:val="00405278"/>
    <w:rsid w:val="00405863"/>
    <w:rsid w:val="00405990"/>
    <w:rsid w:val="00406472"/>
    <w:rsid w:val="00407890"/>
    <w:rsid w:val="00411377"/>
    <w:rsid w:val="00412E6F"/>
    <w:rsid w:val="0041431A"/>
    <w:rsid w:val="00414EFF"/>
    <w:rsid w:val="004171BC"/>
    <w:rsid w:val="00417F10"/>
    <w:rsid w:val="0042110A"/>
    <w:rsid w:val="00421C3F"/>
    <w:rsid w:val="004223D8"/>
    <w:rsid w:val="00422E83"/>
    <w:rsid w:val="00423774"/>
    <w:rsid w:val="00424E79"/>
    <w:rsid w:val="0042539B"/>
    <w:rsid w:val="00427431"/>
    <w:rsid w:val="00430525"/>
    <w:rsid w:val="004307B9"/>
    <w:rsid w:val="00430976"/>
    <w:rsid w:val="00431E65"/>
    <w:rsid w:val="00432EB0"/>
    <w:rsid w:val="00434492"/>
    <w:rsid w:val="0043468E"/>
    <w:rsid w:val="00434695"/>
    <w:rsid w:val="00434D64"/>
    <w:rsid w:val="00434F8C"/>
    <w:rsid w:val="00435C8B"/>
    <w:rsid w:val="00436393"/>
    <w:rsid w:val="00436F4D"/>
    <w:rsid w:val="0044071C"/>
    <w:rsid w:val="004407F7"/>
    <w:rsid w:val="00440952"/>
    <w:rsid w:val="0044098E"/>
    <w:rsid w:val="004413B5"/>
    <w:rsid w:val="0044340F"/>
    <w:rsid w:val="00444049"/>
    <w:rsid w:val="00445C02"/>
    <w:rsid w:val="0044722E"/>
    <w:rsid w:val="00450838"/>
    <w:rsid w:val="00450CF8"/>
    <w:rsid w:val="004519D8"/>
    <w:rsid w:val="00452314"/>
    <w:rsid w:val="00452C15"/>
    <w:rsid w:val="00452D72"/>
    <w:rsid w:val="00453F72"/>
    <w:rsid w:val="00455A16"/>
    <w:rsid w:val="00455E76"/>
    <w:rsid w:val="00455E81"/>
    <w:rsid w:val="00455E96"/>
    <w:rsid w:val="004606A9"/>
    <w:rsid w:val="00465C2A"/>
    <w:rsid w:val="00470132"/>
    <w:rsid w:val="004701C3"/>
    <w:rsid w:val="00470639"/>
    <w:rsid w:val="00471AB9"/>
    <w:rsid w:val="004752E0"/>
    <w:rsid w:val="00480578"/>
    <w:rsid w:val="00480B05"/>
    <w:rsid w:val="004812DB"/>
    <w:rsid w:val="004828D2"/>
    <w:rsid w:val="00482B05"/>
    <w:rsid w:val="00483A75"/>
    <w:rsid w:val="004844A7"/>
    <w:rsid w:val="00484E0C"/>
    <w:rsid w:val="00485D99"/>
    <w:rsid w:val="004867E1"/>
    <w:rsid w:val="00486977"/>
    <w:rsid w:val="00486D22"/>
    <w:rsid w:val="004871D9"/>
    <w:rsid w:val="004878D2"/>
    <w:rsid w:val="00487DF8"/>
    <w:rsid w:val="004904C2"/>
    <w:rsid w:val="00490C7A"/>
    <w:rsid w:val="0049188E"/>
    <w:rsid w:val="00492295"/>
    <w:rsid w:val="00492875"/>
    <w:rsid w:val="00492C76"/>
    <w:rsid w:val="004943F2"/>
    <w:rsid w:val="0049631D"/>
    <w:rsid w:val="004A023A"/>
    <w:rsid w:val="004A0836"/>
    <w:rsid w:val="004A0DA9"/>
    <w:rsid w:val="004A3991"/>
    <w:rsid w:val="004A40DC"/>
    <w:rsid w:val="004A4FDF"/>
    <w:rsid w:val="004A54DC"/>
    <w:rsid w:val="004A72C0"/>
    <w:rsid w:val="004A74EC"/>
    <w:rsid w:val="004A7C21"/>
    <w:rsid w:val="004B0824"/>
    <w:rsid w:val="004B1738"/>
    <w:rsid w:val="004B1F7F"/>
    <w:rsid w:val="004B5495"/>
    <w:rsid w:val="004B5642"/>
    <w:rsid w:val="004B66FD"/>
    <w:rsid w:val="004C0099"/>
    <w:rsid w:val="004C054F"/>
    <w:rsid w:val="004C1165"/>
    <w:rsid w:val="004C11BB"/>
    <w:rsid w:val="004C2FE8"/>
    <w:rsid w:val="004C33ED"/>
    <w:rsid w:val="004C439E"/>
    <w:rsid w:val="004C7C71"/>
    <w:rsid w:val="004C7C95"/>
    <w:rsid w:val="004D116B"/>
    <w:rsid w:val="004D6E5C"/>
    <w:rsid w:val="004E1C52"/>
    <w:rsid w:val="004E225D"/>
    <w:rsid w:val="004E2771"/>
    <w:rsid w:val="004E52D6"/>
    <w:rsid w:val="004E5602"/>
    <w:rsid w:val="004E67CF"/>
    <w:rsid w:val="004E718B"/>
    <w:rsid w:val="004E72E0"/>
    <w:rsid w:val="004E754B"/>
    <w:rsid w:val="004F1F54"/>
    <w:rsid w:val="004F2607"/>
    <w:rsid w:val="004F53D1"/>
    <w:rsid w:val="004F6E43"/>
    <w:rsid w:val="004F74C0"/>
    <w:rsid w:val="004F7696"/>
    <w:rsid w:val="00501367"/>
    <w:rsid w:val="00501DC0"/>
    <w:rsid w:val="005021E3"/>
    <w:rsid w:val="00503FFE"/>
    <w:rsid w:val="00504EF4"/>
    <w:rsid w:val="005051AC"/>
    <w:rsid w:val="0050555A"/>
    <w:rsid w:val="00506CF3"/>
    <w:rsid w:val="00510DB7"/>
    <w:rsid w:val="00511C74"/>
    <w:rsid w:val="00511D88"/>
    <w:rsid w:val="005125F8"/>
    <w:rsid w:val="00512F20"/>
    <w:rsid w:val="005137F4"/>
    <w:rsid w:val="00513A2D"/>
    <w:rsid w:val="00513ACF"/>
    <w:rsid w:val="0051527D"/>
    <w:rsid w:val="0051598A"/>
    <w:rsid w:val="005166D5"/>
    <w:rsid w:val="0052002F"/>
    <w:rsid w:val="0052036B"/>
    <w:rsid w:val="00520467"/>
    <w:rsid w:val="005212CF"/>
    <w:rsid w:val="005216D6"/>
    <w:rsid w:val="005220F2"/>
    <w:rsid w:val="0052374C"/>
    <w:rsid w:val="00523779"/>
    <w:rsid w:val="00525BF2"/>
    <w:rsid w:val="00525F4A"/>
    <w:rsid w:val="00526093"/>
    <w:rsid w:val="0052677C"/>
    <w:rsid w:val="00526FE8"/>
    <w:rsid w:val="00527AD7"/>
    <w:rsid w:val="005302FC"/>
    <w:rsid w:val="00530422"/>
    <w:rsid w:val="00530E3B"/>
    <w:rsid w:val="005310C4"/>
    <w:rsid w:val="005315C3"/>
    <w:rsid w:val="005316F4"/>
    <w:rsid w:val="00534719"/>
    <w:rsid w:val="00534F1C"/>
    <w:rsid w:val="00535BF8"/>
    <w:rsid w:val="00535CC6"/>
    <w:rsid w:val="00535EBD"/>
    <w:rsid w:val="00536A5A"/>
    <w:rsid w:val="00536EFA"/>
    <w:rsid w:val="005375A6"/>
    <w:rsid w:val="005376B5"/>
    <w:rsid w:val="00540800"/>
    <w:rsid w:val="0054188B"/>
    <w:rsid w:val="00542068"/>
    <w:rsid w:val="0054215C"/>
    <w:rsid w:val="00542EF8"/>
    <w:rsid w:val="00542FBE"/>
    <w:rsid w:val="00543700"/>
    <w:rsid w:val="00543A7A"/>
    <w:rsid w:val="0054488F"/>
    <w:rsid w:val="0054654E"/>
    <w:rsid w:val="00550420"/>
    <w:rsid w:val="00550ABD"/>
    <w:rsid w:val="00553B49"/>
    <w:rsid w:val="005540DE"/>
    <w:rsid w:val="00554101"/>
    <w:rsid w:val="0055451D"/>
    <w:rsid w:val="00555067"/>
    <w:rsid w:val="005555B2"/>
    <w:rsid w:val="00555C14"/>
    <w:rsid w:val="00556BC7"/>
    <w:rsid w:val="00556C08"/>
    <w:rsid w:val="0055736C"/>
    <w:rsid w:val="005600F0"/>
    <w:rsid w:val="00560923"/>
    <w:rsid w:val="00563150"/>
    <w:rsid w:val="00564313"/>
    <w:rsid w:val="00565FDA"/>
    <w:rsid w:val="00566873"/>
    <w:rsid w:val="005670F5"/>
    <w:rsid w:val="005679F8"/>
    <w:rsid w:val="00571EC6"/>
    <w:rsid w:val="0057219D"/>
    <w:rsid w:val="005724C7"/>
    <w:rsid w:val="00572EA9"/>
    <w:rsid w:val="00573A7B"/>
    <w:rsid w:val="00573F2F"/>
    <w:rsid w:val="005743DD"/>
    <w:rsid w:val="00574853"/>
    <w:rsid w:val="0057567F"/>
    <w:rsid w:val="00576AF7"/>
    <w:rsid w:val="0057795D"/>
    <w:rsid w:val="005802F0"/>
    <w:rsid w:val="0058035F"/>
    <w:rsid w:val="00580638"/>
    <w:rsid w:val="005835DF"/>
    <w:rsid w:val="0058387F"/>
    <w:rsid w:val="00583AFC"/>
    <w:rsid w:val="00584707"/>
    <w:rsid w:val="0058532A"/>
    <w:rsid w:val="00585C75"/>
    <w:rsid w:val="0058698C"/>
    <w:rsid w:val="00590EE1"/>
    <w:rsid w:val="00592F3F"/>
    <w:rsid w:val="00594338"/>
    <w:rsid w:val="0059493D"/>
    <w:rsid w:val="00594AD7"/>
    <w:rsid w:val="0059512B"/>
    <w:rsid w:val="00595E02"/>
    <w:rsid w:val="005961F6"/>
    <w:rsid w:val="00597CE9"/>
    <w:rsid w:val="005A0E47"/>
    <w:rsid w:val="005A1B56"/>
    <w:rsid w:val="005A22E4"/>
    <w:rsid w:val="005A324A"/>
    <w:rsid w:val="005A3BA5"/>
    <w:rsid w:val="005A4846"/>
    <w:rsid w:val="005A4B68"/>
    <w:rsid w:val="005A5074"/>
    <w:rsid w:val="005A57A7"/>
    <w:rsid w:val="005A6DD0"/>
    <w:rsid w:val="005A76A5"/>
    <w:rsid w:val="005A7F94"/>
    <w:rsid w:val="005B08F7"/>
    <w:rsid w:val="005B1520"/>
    <w:rsid w:val="005B2FF1"/>
    <w:rsid w:val="005B3BF4"/>
    <w:rsid w:val="005B3E16"/>
    <w:rsid w:val="005B691D"/>
    <w:rsid w:val="005B6A44"/>
    <w:rsid w:val="005B73C3"/>
    <w:rsid w:val="005C06AD"/>
    <w:rsid w:val="005C0C18"/>
    <w:rsid w:val="005C1EC1"/>
    <w:rsid w:val="005C36AF"/>
    <w:rsid w:val="005C36F0"/>
    <w:rsid w:val="005C4287"/>
    <w:rsid w:val="005C45DE"/>
    <w:rsid w:val="005C45FC"/>
    <w:rsid w:val="005C650B"/>
    <w:rsid w:val="005C6A07"/>
    <w:rsid w:val="005C6BD4"/>
    <w:rsid w:val="005C716A"/>
    <w:rsid w:val="005C7526"/>
    <w:rsid w:val="005D0801"/>
    <w:rsid w:val="005D100C"/>
    <w:rsid w:val="005D1334"/>
    <w:rsid w:val="005D165B"/>
    <w:rsid w:val="005D231A"/>
    <w:rsid w:val="005D25E7"/>
    <w:rsid w:val="005D3648"/>
    <w:rsid w:val="005D3A5F"/>
    <w:rsid w:val="005D3EDE"/>
    <w:rsid w:val="005D63A4"/>
    <w:rsid w:val="005D67AD"/>
    <w:rsid w:val="005D7672"/>
    <w:rsid w:val="005E0EDE"/>
    <w:rsid w:val="005E206F"/>
    <w:rsid w:val="005E2EA9"/>
    <w:rsid w:val="005E5A78"/>
    <w:rsid w:val="005E5E60"/>
    <w:rsid w:val="005E5FB2"/>
    <w:rsid w:val="005E61F0"/>
    <w:rsid w:val="005E64EF"/>
    <w:rsid w:val="005E6F62"/>
    <w:rsid w:val="005E741D"/>
    <w:rsid w:val="005F15B0"/>
    <w:rsid w:val="005F289E"/>
    <w:rsid w:val="005F2AC8"/>
    <w:rsid w:val="005F2E97"/>
    <w:rsid w:val="005F4774"/>
    <w:rsid w:val="005F4D17"/>
    <w:rsid w:val="005F662C"/>
    <w:rsid w:val="005F7129"/>
    <w:rsid w:val="005F7349"/>
    <w:rsid w:val="005F7688"/>
    <w:rsid w:val="005F7A02"/>
    <w:rsid w:val="00600886"/>
    <w:rsid w:val="006008FC"/>
    <w:rsid w:val="006009E1"/>
    <w:rsid w:val="00600F17"/>
    <w:rsid w:val="00601190"/>
    <w:rsid w:val="00602241"/>
    <w:rsid w:val="00602A77"/>
    <w:rsid w:val="00602AE6"/>
    <w:rsid w:val="0060362C"/>
    <w:rsid w:val="00603C04"/>
    <w:rsid w:val="0060411C"/>
    <w:rsid w:val="00604295"/>
    <w:rsid w:val="00605B89"/>
    <w:rsid w:val="00607552"/>
    <w:rsid w:val="0060770A"/>
    <w:rsid w:val="0061104D"/>
    <w:rsid w:val="006130D3"/>
    <w:rsid w:val="0061492C"/>
    <w:rsid w:val="00615630"/>
    <w:rsid w:val="00616EF2"/>
    <w:rsid w:val="00616F28"/>
    <w:rsid w:val="00620340"/>
    <w:rsid w:val="00620B48"/>
    <w:rsid w:val="0062170E"/>
    <w:rsid w:val="00621F4A"/>
    <w:rsid w:val="0062668B"/>
    <w:rsid w:val="00627B70"/>
    <w:rsid w:val="0063032B"/>
    <w:rsid w:val="006305B9"/>
    <w:rsid w:val="00630AC0"/>
    <w:rsid w:val="00630D47"/>
    <w:rsid w:val="00631E5C"/>
    <w:rsid w:val="006328CE"/>
    <w:rsid w:val="00632D94"/>
    <w:rsid w:val="0063337B"/>
    <w:rsid w:val="00633819"/>
    <w:rsid w:val="006347F4"/>
    <w:rsid w:val="00635ADA"/>
    <w:rsid w:val="00636E40"/>
    <w:rsid w:val="00636EBF"/>
    <w:rsid w:val="00637222"/>
    <w:rsid w:val="00640295"/>
    <w:rsid w:val="00640553"/>
    <w:rsid w:val="0064068E"/>
    <w:rsid w:val="00640EB7"/>
    <w:rsid w:val="00641C1C"/>
    <w:rsid w:val="00642E9D"/>
    <w:rsid w:val="0064482F"/>
    <w:rsid w:val="00644B41"/>
    <w:rsid w:val="00647125"/>
    <w:rsid w:val="006502A8"/>
    <w:rsid w:val="00650DA4"/>
    <w:rsid w:val="00652F78"/>
    <w:rsid w:val="00653374"/>
    <w:rsid w:val="0065494D"/>
    <w:rsid w:val="00654CDE"/>
    <w:rsid w:val="00655852"/>
    <w:rsid w:val="00656AEC"/>
    <w:rsid w:val="00656CCF"/>
    <w:rsid w:val="00656DC1"/>
    <w:rsid w:val="006570EB"/>
    <w:rsid w:val="006571F4"/>
    <w:rsid w:val="00657895"/>
    <w:rsid w:val="0066286C"/>
    <w:rsid w:val="0066308B"/>
    <w:rsid w:val="006649D6"/>
    <w:rsid w:val="006661B9"/>
    <w:rsid w:val="00666BFC"/>
    <w:rsid w:val="00666E6A"/>
    <w:rsid w:val="00671763"/>
    <w:rsid w:val="006718A2"/>
    <w:rsid w:val="00671A9E"/>
    <w:rsid w:val="0067243E"/>
    <w:rsid w:val="00672E00"/>
    <w:rsid w:val="006751EA"/>
    <w:rsid w:val="00675CAF"/>
    <w:rsid w:val="006775D0"/>
    <w:rsid w:val="00680B3B"/>
    <w:rsid w:val="00680B58"/>
    <w:rsid w:val="00683B5D"/>
    <w:rsid w:val="00683FC1"/>
    <w:rsid w:val="006848DF"/>
    <w:rsid w:val="00685003"/>
    <w:rsid w:val="00685092"/>
    <w:rsid w:val="00686C72"/>
    <w:rsid w:val="00687B7F"/>
    <w:rsid w:val="00687FF9"/>
    <w:rsid w:val="00690678"/>
    <w:rsid w:val="0069200E"/>
    <w:rsid w:val="006922D1"/>
    <w:rsid w:val="0069319D"/>
    <w:rsid w:val="006934F6"/>
    <w:rsid w:val="00693C2E"/>
    <w:rsid w:val="00693F42"/>
    <w:rsid w:val="0069509B"/>
    <w:rsid w:val="00695CB5"/>
    <w:rsid w:val="00695F0B"/>
    <w:rsid w:val="006968E1"/>
    <w:rsid w:val="00696C43"/>
    <w:rsid w:val="00697350"/>
    <w:rsid w:val="00697E0C"/>
    <w:rsid w:val="006A1206"/>
    <w:rsid w:val="006A1F6A"/>
    <w:rsid w:val="006A247A"/>
    <w:rsid w:val="006A2596"/>
    <w:rsid w:val="006A51CF"/>
    <w:rsid w:val="006A5330"/>
    <w:rsid w:val="006A6FF4"/>
    <w:rsid w:val="006A7629"/>
    <w:rsid w:val="006A7E91"/>
    <w:rsid w:val="006B0699"/>
    <w:rsid w:val="006B144D"/>
    <w:rsid w:val="006B1D03"/>
    <w:rsid w:val="006B2BD9"/>
    <w:rsid w:val="006B3BE3"/>
    <w:rsid w:val="006B40A6"/>
    <w:rsid w:val="006B55F9"/>
    <w:rsid w:val="006B56B7"/>
    <w:rsid w:val="006B6A8F"/>
    <w:rsid w:val="006B6BD2"/>
    <w:rsid w:val="006B7252"/>
    <w:rsid w:val="006B7AAD"/>
    <w:rsid w:val="006B7FE9"/>
    <w:rsid w:val="006C22DB"/>
    <w:rsid w:val="006C2683"/>
    <w:rsid w:val="006C26A5"/>
    <w:rsid w:val="006C30FF"/>
    <w:rsid w:val="006C3D40"/>
    <w:rsid w:val="006C3FF7"/>
    <w:rsid w:val="006C48C6"/>
    <w:rsid w:val="006C64C9"/>
    <w:rsid w:val="006C6CF0"/>
    <w:rsid w:val="006C6FC1"/>
    <w:rsid w:val="006C75C3"/>
    <w:rsid w:val="006D000C"/>
    <w:rsid w:val="006D0D6E"/>
    <w:rsid w:val="006D1B8F"/>
    <w:rsid w:val="006D344F"/>
    <w:rsid w:val="006D3E80"/>
    <w:rsid w:val="006D7674"/>
    <w:rsid w:val="006E1D67"/>
    <w:rsid w:val="006E21CE"/>
    <w:rsid w:val="006E29F0"/>
    <w:rsid w:val="006E2CC2"/>
    <w:rsid w:val="006E4A96"/>
    <w:rsid w:val="006E63DC"/>
    <w:rsid w:val="006F09D3"/>
    <w:rsid w:val="006F0BBD"/>
    <w:rsid w:val="006F2BBD"/>
    <w:rsid w:val="006F3B6A"/>
    <w:rsid w:val="006F4242"/>
    <w:rsid w:val="006F5DE4"/>
    <w:rsid w:val="006F72A6"/>
    <w:rsid w:val="007004A2"/>
    <w:rsid w:val="007005BD"/>
    <w:rsid w:val="00700E25"/>
    <w:rsid w:val="0070152E"/>
    <w:rsid w:val="007016D0"/>
    <w:rsid w:val="00702CB0"/>
    <w:rsid w:val="00702CD5"/>
    <w:rsid w:val="00703371"/>
    <w:rsid w:val="007037E6"/>
    <w:rsid w:val="00703915"/>
    <w:rsid w:val="00704169"/>
    <w:rsid w:val="00705598"/>
    <w:rsid w:val="007066ED"/>
    <w:rsid w:val="0070719C"/>
    <w:rsid w:val="00707989"/>
    <w:rsid w:val="00710331"/>
    <w:rsid w:val="007106E1"/>
    <w:rsid w:val="00711084"/>
    <w:rsid w:val="0071140E"/>
    <w:rsid w:val="00711541"/>
    <w:rsid w:val="00712C1B"/>
    <w:rsid w:val="00712ECB"/>
    <w:rsid w:val="00713E52"/>
    <w:rsid w:val="007140E6"/>
    <w:rsid w:val="0071468A"/>
    <w:rsid w:val="00715687"/>
    <w:rsid w:val="00715A36"/>
    <w:rsid w:val="00716694"/>
    <w:rsid w:val="0072019C"/>
    <w:rsid w:val="0072122E"/>
    <w:rsid w:val="00722AB5"/>
    <w:rsid w:val="00722B98"/>
    <w:rsid w:val="00722E77"/>
    <w:rsid w:val="00724196"/>
    <w:rsid w:val="007247D2"/>
    <w:rsid w:val="007248F6"/>
    <w:rsid w:val="00726AC2"/>
    <w:rsid w:val="00730814"/>
    <w:rsid w:val="00731F33"/>
    <w:rsid w:val="007327ED"/>
    <w:rsid w:val="00735126"/>
    <w:rsid w:val="007353F4"/>
    <w:rsid w:val="00736731"/>
    <w:rsid w:val="00736B13"/>
    <w:rsid w:val="00737014"/>
    <w:rsid w:val="0074153B"/>
    <w:rsid w:val="007416A1"/>
    <w:rsid w:val="00742BFB"/>
    <w:rsid w:val="00743264"/>
    <w:rsid w:val="007445C5"/>
    <w:rsid w:val="00744D3B"/>
    <w:rsid w:val="007469E1"/>
    <w:rsid w:val="00751215"/>
    <w:rsid w:val="0075218D"/>
    <w:rsid w:val="00752DA0"/>
    <w:rsid w:val="00754C80"/>
    <w:rsid w:val="007552E6"/>
    <w:rsid w:val="00755676"/>
    <w:rsid w:val="00755D6B"/>
    <w:rsid w:val="00756B7F"/>
    <w:rsid w:val="00756BEB"/>
    <w:rsid w:val="00757CF9"/>
    <w:rsid w:val="00760A2C"/>
    <w:rsid w:val="0076262A"/>
    <w:rsid w:val="00762685"/>
    <w:rsid w:val="007633E0"/>
    <w:rsid w:val="00764167"/>
    <w:rsid w:val="00764888"/>
    <w:rsid w:val="00764DC7"/>
    <w:rsid w:val="00764F7E"/>
    <w:rsid w:val="00765794"/>
    <w:rsid w:val="007711EF"/>
    <w:rsid w:val="00771A37"/>
    <w:rsid w:val="00772417"/>
    <w:rsid w:val="00772CE0"/>
    <w:rsid w:val="00772E9E"/>
    <w:rsid w:val="0077346C"/>
    <w:rsid w:val="00773C72"/>
    <w:rsid w:val="00773F00"/>
    <w:rsid w:val="00774D47"/>
    <w:rsid w:val="00774F1B"/>
    <w:rsid w:val="00775536"/>
    <w:rsid w:val="007760FD"/>
    <w:rsid w:val="00776F65"/>
    <w:rsid w:val="007775FF"/>
    <w:rsid w:val="00781C3A"/>
    <w:rsid w:val="007831C1"/>
    <w:rsid w:val="0078387D"/>
    <w:rsid w:val="00783B7E"/>
    <w:rsid w:val="00783BEF"/>
    <w:rsid w:val="00786BC8"/>
    <w:rsid w:val="00786FD9"/>
    <w:rsid w:val="00787790"/>
    <w:rsid w:val="00790510"/>
    <w:rsid w:val="0079080F"/>
    <w:rsid w:val="00792D4D"/>
    <w:rsid w:val="007931BC"/>
    <w:rsid w:val="00793321"/>
    <w:rsid w:val="0079388C"/>
    <w:rsid w:val="00793AAD"/>
    <w:rsid w:val="00795CAE"/>
    <w:rsid w:val="00797B3F"/>
    <w:rsid w:val="007A0F20"/>
    <w:rsid w:val="007A17D4"/>
    <w:rsid w:val="007A3AC7"/>
    <w:rsid w:val="007A582C"/>
    <w:rsid w:val="007A614E"/>
    <w:rsid w:val="007A739E"/>
    <w:rsid w:val="007B01DB"/>
    <w:rsid w:val="007B04B2"/>
    <w:rsid w:val="007B102D"/>
    <w:rsid w:val="007B153E"/>
    <w:rsid w:val="007B2CBE"/>
    <w:rsid w:val="007B4A6A"/>
    <w:rsid w:val="007B4ABA"/>
    <w:rsid w:val="007B54BB"/>
    <w:rsid w:val="007B5CA0"/>
    <w:rsid w:val="007B7171"/>
    <w:rsid w:val="007B76DA"/>
    <w:rsid w:val="007B79DD"/>
    <w:rsid w:val="007C0F24"/>
    <w:rsid w:val="007C29CB"/>
    <w:rsid w:val="007C2DCF"/>
    <w:rsid w:val="007C4481"/>
    <w:rsid w:val="007C4801"/>
    <w:rsid w:val="007C53E8"/>
    <w:rsid w:val="007C7A3E"/>
    <w:rsid w:val="007D0541"/>
    <w:rsid w:val="007D0B25"/>
    <w:rsid w:val="007D1646"/>
    <w:rsid w:val="007D2124"/>
    <w:rsid w:val="007D278D"/>
    <w:rsid w:val="007D2E34"/>
    <w:rsid w:val="007D3561"/>
    <w:rsid w:val="007D3F3F"/>
    <w:rsid w:val="007D4AE2"/>
    <w:rsid w:val="007D5352"/>
    <w:rsid w:val="007D5A00"/>
    <w:rsid w:val="007D6D62"/>
    <w:rsid w:val="007D6EAA"/>
    <w:rsid w:val="007E010F"/>
    <w:rsid w:val="007E02E8"/>
    <w:rsid w:val="007E0F05"/>
    <w:rsid w:val="007E2532"/>
    <w:rsid w:val="007E26B7"/>
    <w:rsid w:val="007E34E2"/>
    <w:rsid w:val="007E3E09"/>
    <w:rsid w:val="007E4B3D"/>
    <w:rsid w:val="007E5651"/>
    <w:rsid w:val="007E58F2"/>
    <w:rsid w:val="007E5D22"/>
    <w:rsid w:val="007E687D"/>
    <w:rsid w:val="007F009E"/>
    <w:rsid w:val="007F02FE"/>
    <w:rsid w:val="007F0610"/>
    <w:rsid w:val="007F0631"/>
    <w:rsid w:val="007F0A3C"/>
    <w:rsid w:val="007F1038"/>
    <w:rsid w:val="007F11EE"/>
    <w:rsid w:val="007F1827"/>
    <w:rsid w:val="007F26D3"/>
    <w:rsid w:val="007F59A9"/>
    <w:rsid w:val="007F59B2"/>
    <w:rsid w:val="007F6BF5"/>
    <w:rsid w:val="0080003C"/>
    <w:rsid w:val="00801782"/>
    <w:rsid w:val="0080367F"/>
    <w:rsid w:val="00803B62"/>
    <w:rsid w:val="00803EB5"/>
    <w:rsid w:val="00804AB1"/>
    <w:rsid w:val="00804C6D"/>
    <w:rsid w:val="0080615E"/>
    <w:rsid w:val="008070A1"/>
    <w:rsid w:val="00810120"/>
    <w:rsid w:val="008108D5"/>
    <w:rsid w:val="008113A6"/>
    <w:rsid w:val="00812F59"/>
    <w:rsid w:val="00813674"/>
    <w:rsid w:val="00814201"/>
    <w:rsid w:val="008149F4"/>
    <w:rsid w:val="00814FA5"/>
    <w:rsid w:val="00815F75"/>
    <w:rsid w:val="00820473"/>
    <w:rsid w:val="00820C0B"/>
    <w:rsid w:val="0082138B"/>
    <w:rsid w:val="00822F18"/>
    <w:rsid w:val="0082329E"/>
    <w:rsid w:val="00824006"/>
    <w:rsid w:val="00824C00"/>
    <w:rsid w:val="00825D6B"/>
    <w:rsid w:val="00827482"/>
    <w:rsid w:val="008307B0"/>
    <w:rsid w:val="008310D6"/>
    <w:rsid w:val="008326DE"/>
    <w:rsid w:val="0083284A"/>
    <w:rsid w:val="008335E4"/>
    <w:rsid w:val="0083369E"/>
    <w:rsid w:val="00833DC9"/>
    <w:rsid w:val="00836171"/>
    <w:rsid w:val="008369E4"/>
    <w:rsid w:val="008371DA"/>
    <w:rsid w:val="00837E8F"/>
    <w:rsid w:val="00837EE7"/>
    <w:rsid w:val="008411A0"/>
    <w:rsid w:val="008416CC"/>
    <w:rsid w:val="00841948"/>
    <w:rsid w:val="00842093"/>
    <w:rsid w:val="008433F0"/>
    <w:rsid w:val="008438AF"/>
    <w:rsid w:val="00843D40"/>
    <w:rsid w:val="00845E45"/>
    <w:rsid w:val="008478C8"/>
    <w:rsid w:val="00852B8A"/>
    <w:rsid w:val="00852F71"/>
    <w:rsid w:val="00853D1E"/>
    <w:rsid w:val="00854045"/>
    <w:rsid w:val="008554AE"/>
    <w:rsid w:val="008557DF"/>
    <w:rsid w:val="00856C23"/>
    <w:rsid w:val="0086033F"/>
    <w:rsid w:val="00860FE8"/>
    <w:rsid w:val="00862211"/>
    <w:rsid w:val="0086221F"/>
    <w:rsid w:val="0086237E"/>
    <w:rsid w:val="008623D7"/>
    <w:rsid w:val="00862446"/>
    <w:rsid w:val="00863D41"/>
    <w:rsid w:val="00864118"/>
    <w:rsid w:val="008650E6"/>
    <w:rsid w:val="008651A6"/>
    <w:rsid w:val="0086677F"/>
    <w:rsid w:val="008667BC"/>
    <w:rsid w:val="0087000A"/>
    <w:rsid w:val="00870275"/>
    <w:rsid w:val="00871186"/>
    <w:rsid w:val="008712B9"/>
    <w:rsid w:val="008714BD"/>
    <w:rsid w:val="0087351C"/>
    <w:rsid w:val="008748F2"/>
    <w:rsid w:val="00877EF0"/>
    <w:rsid w:val="00880FB9"/>
    <w:rsid w:val="008815AB"/>
    <w:rsid w:val="008823B5"/>
    <w:rsid w:val="00882C3A"/>
    <w:rsid w:val="00882DF8"/>
    <w:rsid w:val="0088306B"/>
    <w:rsid w:val="008836BF"/>
    <w:rsid w:val="0088376F"/>
    <w:rsid w:val="00883A76"/>
    <w:rsid w:val="00883F0F"/>
    <w:rsid w:val="00884F77"/>
    <w:rsid w:val="00885A50"/>
    <w:rsid w:val="00885FC6"/>
    <w:rsid w:val="00885FD6"/>
    <w:rsid w:val="008861A4"/>
    <w:rsid w:val="008863A4"/>
    <w:rsid w:val="00886E5E"/>
    <w:rsid w:val="0089222C"/>
    <w:rsid w:val="008925D3"/>
    <w:rsid w:val="0089260E"/>
    <w:rsid w:val="008927C4"/>
    <w:rsid w:val="00892D7E"/>
    <w:rsid w:val="008940B0"/>
    <w:rsid w:val="008949D2"/>
    <w:rsid w:val="00895AF2"/>
    <w:rsid w:val="008960FD"/>
    <w:rsid w:val="008A0339"/>
    <w:rsid w:val="008A0BFC"/>
    <w:rsid w:val="008A2040"/>
    <w:rsid w:val="008A20BA"/>
    <w:rsid w:val="008A24B8"/>
    <w:rsid w:val="008A323E"/>
    <w:rsid w:val="008A34B1"/>
    <w:rsid w:val="008A4065"/>
    <w:rsid w:val="008A48B2"/>
    <w:rsid w:val="008A7CFC"/>
    <w:rsid w:val="008B1138"/>
    <w:rsid w:val="008B2674"/>
    <w:rsid w:val="008B53A2"/>
    <w:rsid w:val="008B65C4"/>
    <w:rsid w:val="008B704C"/>
    <w:rsid w:val="008B720B"/>
    <w:rsid w:val="008B7B09"/>
    <w:rsid w:val="008C1D4B"/>
    <w:rsid w:val="008C47CE"/>
    <w:rsid w:val="008C4A69"/>
    <w:rsid w:val="008C6663"/>
    <w:rsid w:val="008D067D"/>
    <w:rsid w:val="008D08A3"/>
    <w:rsid w:val="008D0B69"/>
    <w:rsid w:val="008D256D"/>
    <w:rsid w:val="008D3F79"/>
    <w:rsid w:val="008D4BC2"/>
    <w:rsid w:val="008D4FCF"/>
    <w:rsid w:val="008D53D4"/>
    <w:rsid w:val="008D5436"/>
    <w:rsid w:val="008D66F1"/>
    <w:rsid w:val="008E0764"/>
    <w:rsid w:val="008E3FD3"/>
    <w:rsid w:val="008E468A"/>
    <w:rsid w:val="008E680A"/>
    <w:rsid w:val="008E71FE"/>
    <w:rsid w:val="008E7913"/>
    <w:rsid w:val="008E7B66"/>
    <w:rsid w:val="008E7D37"/>
    <w:rsid w:val="008E7FCD"/>
    <w:rsid w:val="008F08A7"/>
    <w:rsid w:val="008F0935"/>
    <w:rsid w:val="008F0E06"/>
    <w:rsid w:val="008F1087"/>
    <w:rsid w:val="008F1B26"/>
    <w:rsid w:val="008F2E94"/>
    <w:rsid w:val="008F5466"/>
    <w:rsid w:val="008F637E"/>
    <w:rsid w:val="008F7967"/>
    <w:rsid w:val="0090077B"/>
    <w:rsid w:val="00900A96"/>
    <w:rsid w:val="0090187E"/>
    <w:rsid w:val="00902B26"/>
    <w:rsid w:val="00903048"/>
    <w:rsid w:val="00903F96"/>
    <w:rsid w:val="009043C5"/>
    <w:rsid w:val="00904AE9"/>
    <w:rsid w:val="00904C33"/>
    <w:rsid w:val="0090506F"/>
    <w:rsid w:val="009066AF"/>
    <w:rsid w:val="009069CD"/>
    <w:rsid w:val="009075CB"/>
    <w:rsid w:val="00907A87"/>
    <w:rsid w:val="00910AB6"/>
    <w:rsid w:val="00911BC6"/>
    <w:rsid w:val="00912920"/>
    <w:rsid w:val="00916573"/>
    <w:rsid w:val="00916FE1"/>
    <w:rsid w:val="009201D2"/>
    <w:rsid w:val="00920CFF"/>
    <w:rsid w:val="009215EE"/>
    <w:rsid w:val="009234B3"/>
    <w:rsid w:val="00923A55"/>
    <w:rsid w:val="0092684A"/>
    <w:rsid w:val="00926B9B"/>
    <w:rsid w:val="009300E3"/>
    <w:rsid w:val="009303A5"/>
    <w:rsid w:val="0093052A"/>
    <w:rsid w:val="00930DAB"/>
    <w:rsid w:val="0093183A"/>
    <w:rsid w:val="00932CF7"/>
    <w:rsid w:val="0093434D"/>
    <w:rsid w:val="00934DFA"/>
    <w:rsid w:val="009355E9"/>
    <w:rsid w:val="009358F2"/>
    <w:rsid w:val="00936B1E"/>
    <w:rsid w:val="0093751D"/>
    <w:rsid w:val="009377E9"/>
    <w:rsid w:val="00937DB9"/>
    <w:rsid w:val="00937F5E"/>
    <w:rsid w:val="00937F98"/>
    <w:rsid w:val="00940A1E"/>
    <w:rsid w:val="00941D62"/>
    <w:rsid w:val="009420CF"/>
    <w:rsid w:val="00942317"/>
    <w:rsid w:val="00942FAC"/>
    <w:rsid w:val="00943C2C"/>
    <w:rsid w:val="00944438"/>
    <w:rsid w:val="00945321"/>
    <w:rsid w:val="009465CF"/>
    <w:rsid w:val="00946AD3"/>
    <w:rsid w:val="00952088"/>
    <w:rsid w:val="00952DAA"/>
    <w:rsid w:val="00957635"/>
    <w:rsid w:val="00957C82"/>
    <w:rsid w:val="00957F5C"/>
    <w:rsid w:val="009603F7"/>
    <w:rsid w:val="009607A2"/>
    <w:rsid w:val="009618BB"/>
    <w:rsid w:val="00962851"/>
    <w:rsid w:val="009631A6"/>
    <w:rsid w:val="0096384F"/>
    <w:rsid w:val="00964280"/>
    <w:rsid w:val="00964561"/>
    <w:rsid w:val="00964786"/>
    <w:rsid w:val="00970D64"/>
    <w:rsid w:val="0097291C"/>
    <w:rsid w:val="0097414C"/>
    <w:rsid w:val="00974D8E"/>
    <w:rsid w:val="00975517"/>
    <w:rsid w:val="009761E2"/>
    <w:rsid w:val="0097621A"/>
    <w:rsid w:val="009808E7"/>
    <w:rsid w:val="009817A5"/>
    <w:rsid w:val="00981B40"/>
    <w:rsid w:val="009825BF"/>
    <w:rsid w:val="00982C69"/>
    <w:rsid w:val="0098537C"/>
    <w:rsid w:val="009855CC"/>
    <w:rsid w:val="00985AF0"/>
    <w:rsid w:val="00987975"/>
    <w:rsid w:val="00990EDE"/>
    <w:rsid w:val="00991852"/>
    <w:rsid w:val="0099190B"/>
    <w:rsid w:val="009928F3"/>
    <w:rsid w:val="009933F9"/>
    <w:rsid w:val="00993C93"/>
    <w:rsid w:val="00995B8E"/>
    <w:rsid w:val="0099686D"/>
    <w:rsid w:val="00996A72"/>
    <w:rsid w:val="00996D79"/>
    <w:rsid w:val="009971F6"/>
    <w:rsid w:val="009A05D3"/>
    <w:rsid w:val="009A1220"/>
    <w:rsid w:val="009A2261"/>
    <w:rsid w:val="009A2B7B"/>
    <w:rsid w:val="009A30D4"/>
    <w:rsid w:val="009A3646"/>
    <w:rsid w:val="009A384B"/>
    <w:rsid w:val="009A3BA3"/>
    <w:rsid w:val="009A555B"/>
    <w:rsid w:val="009B1030"/>
    <w:rsid w:val="009B22A6"/>
    <w:rsid w:val="009B23DA"/>
    <w:rsid w:val="009B5C57"/>
    <w:rsid w:val="009C0064"/>
    <w:rsid w:val="009C1740"/>
    <w:rsid w:val="009C18EE"/>
    <w:rsid w:val="009C1E05"/>
    <w:rsid w:val="009C4243"/>
    <w:rsid w:val="009C4C26"/>
    <w:rsid w:val="009C5398"/>
    <w:rsid w:val="009C56CD"/>
    <w:rsid w:val="009C59B7"/>
    <w:rsid w:val="009C742A"/>
    <w:rsid w:val="009D297F"/>
    <w:rsid w:val="009D3C4A"/>
    <w:rsid w:val="009D48D2"/>
    <w:rsid w:val="009D4ADF"/>
    <w:rsid w:val="009E0C8F"/>
    <w:rsid w:val="009E0E0C"/>
    <w:rsid w:val="009E1E85"/>
    <w:rsid w:val="009E281F"/>
    <w:rsid w:val="009E3089"/>
    <w:rsid w:val="009E7676"/>
    <w:rsid w:val="009E79C4"/>
    <w:rsid w:val="009F0515"/>
    <w:rsid w:val="009F1947"/>
    <w:rsid w:val="009F20F5"/>
    <w:rsid w:val="009F223C"/>
    <w:rsid w:val="009F239E"/>
    <w:rsid w:val="009F51B3"/>
    <w:rsid w:val="009F60FF"/>
    <w:rsid w:val="00A0020C"/>
    <w:rsid w:val="00A0048C"/>
    <w:rsid w:val="00A00C86"/>
    <w:rsid w:val="00A01516"/>
    <w:rsid w:val="00A016E3"/>
    <w:rsid w:val="00A01996"/>
    <w:rsid w:val="00A0273D"/>
    <w:rsid w:val="00A02A1D"/>
    <w:rsid w:val="00A035AD"/>
    <w:rsid w:val="00A03623"/>
    <w:rsid w:val="00A048C7"/>
    <w:rsid w:val="00A04A65"/>
    <w:rsid w:val="00A04EC0"/>
    <w:rsid w:val="00A054DE"/>
    <w:rsid w:val="00A054E8"/>
    <w:rsid w:val="00A1018F"/>
    <w:rsid w:val="00A1037D"/>
    <w:rsid w:val="00A11FA1"/>
    <w:rsid w:val="00A12A63"/>
    <w:rsid w:val="00A131D8"/>
    <w:rsid w:val="00A13526"/>
    <w:rsid w:val="00A13884"/>
    <w:rsid w:val="00A1510C"/>
    <w:rsid w:val="00A15B6C"/>
    <w:rsid w:val="00A1688B"/>
    <w:rsid w:val="00A16ABB"/>
    <w:rsid w:val="00A21BA4"/>
    <w:rsid w:val="00A21BD5"/>
    <w:rsid w:val="00A21C4E"/>
    <w:rsid w:val="00A23FD6"/>
    <w:rsid w:val="00A24277"/>
    <w:rsid w:val="00A24DDB"/>
    <w:rsid w:val="00A25207"/>
    <w:rsid w:val="00A25A1E"/>
    <w:rsid w:val="00A26E39"/>
    <w:rsid w:val="00A300CF"/>
    <w:rsid w:val="00A30D6C"/>
    <w:rsid w:val="00A31D1F"/>
    <w:rsid w:val="00A31DDB"/>
    <w:rsid w:val="00A32542"/>
    <w:rsid w:val="00A32B15"/>
    <w:rsid w:val="00A35AFC"/>
    <w:rsid w:val="00A368C7"/>
    <w:rsid w:val="00A372F0"/>
    <w:rsid w:val="00A40831"/>
    <w:rsid w:val="00A41910"/>
    <w:rsid w:val="00A41F99"/>
    <w:rsid w:val="00A446DA"/>
    <w:rsid w:val="00A455F1"/>
    <w:rsid w:val="00A45EFF"/>
    <w:rsid w:val="00A4689F"/>
    <w:rsid w:val="00A47145"/>
    <w:rsid w:val="00A4754D"/>
    <w:rsid w:val="00A47ED5"/>
    <w:rsid w:val="00A5181E"/>
    <w:rsid w:val="00A53B01"/>
    <w:rsid w:val="00A55CFC"/>
    <w:rsid w:val="00A56FB6"/>
    <w:rsid w:val="00A60D07"/>
    <w:rsid w:val="00A628C0"/>
    <w:rsid w:val="00A656C9"/>
    <w:rsid w:val="00A65807"/>
    <w:rsid w:val="00A67F3E"/>
    <w:rsid w:val="00A70A66"/>
    <w:rsid w:val="00A70C48"/>
    <w:rsid w:val="00A718B5"/>
    <w:rsid w:val="00A71DE1"/>
    <w:rsid w:val="00A74D71"/>
    <w:rsid w:val="00A7602C"/>
    <w:rsid w:val="00A76E95"/>
    <w:rsid w:val="00A776BE"/>
    <w:rsid w:val="00A7777D"/>
    <w:rsid w:val="00A77DBD"/>
    <w:rsid w:val="00A80AEA"/>
    <w:rsid w:val="00A813CC"/>
    <w:rsid w:val="00A81C6F"/>
    <w:rsid w:val="00A82CC2"/>
    <w:rsid w:val="00A84A2D"/>
    <w:rsid w:val="00A84E0C"/>
    <w:rsid w:val="00A860A5"/>
    <w:rsid w:val="00A8615B"/>
    <w:rsid w:val="00A87B61"/>
    <w:rsid w:val="00A87D6C"/>
    <w:rsid w:val="00A90AA1"/>
    <w:rsid w:val="00A915E3"/>
    <w:rsid w:val="00A92B40"/>
    <w:rsid w:val="00A93587"/>
    <w:rsid w:val="00A937CF"/>
    <w:rsid w:val="00A9397E"/>
    <w:rsid w:val="00A93A67"/>
    <w:rsid w:val="00A9486B"/>
    <w:rsid w:val="00A95AA3"/>
    <w:rsid w:val="00A97A4C"/>
    <w:rsid w:val="00AA26F9"/>
    <w:rsid w:val="00AA3E1C"/>
    <w:rsid w:val="00AA437F"/>
    <w:rsid w:val="00AA442D"/>
    <w:rsid w:val="00AA4D29"/>
    <w:rsid w:val="00AA5024"/>
    <w:rsid w:val="00AA68B4"/>
    <w:rsid w:val="00AA6B95"/>
    <w:rsid w:val="00AA70BA"/>
    <w:rsid w:val="00AA7107"/>
    <w:rsid w:val="00AB00BC"/>
    <w:rsid w:val="00AB013D"/>
    <w:rsid w:val="00AB0DF9"/>
    <w:rsid w:val="00AB16B6"/>
    <w:rsid w:val="00AB1BD7"/>
    <w:rsid w:val="00AB22CE"/>
    <w:rsid w:val="00AB2508"/>
    <w:rsid w:val="00AB3592"/>
    <w:rsid w:val="00AB49F0"/>
    <w:rsid w:val="00AB5394"/>
    <w:rsid w:val="00AB6543"/>
    <w:rsid w:val="00AB6E87"/>
    <w:rsid w:val="00AC201F"/>
    <w:rsid w:val="00AC2571"/>
    <w:rsid w:val="00AC3211"/>
    <w:rsid w:val="00AC3F81"/>
    <w:rsid w:val="00AC44E4"/>
    <w:rsid w:val="00AC6BF9"/>
    <w:rsid w:val="00AD002C"/>
    <w:rsid w:val="00AD0725"/>
    <w:rsid w:val="00AD0E7C"/>
    <w:rsid w:val="00AD1C5A"/>
    <w:rsid w:val="00AD2220"/>
    <w:rsid w:val="00AD3911"/>
    <w:rsid w:val="00AD3BF0"/>
    <w:rsid w:val="00AD4D44"/>
    <w:rsid w:val="00AD4E08"/>
    <w:rsid w:val="00AD583D"/>
    <w:rsid w:val="00AD5D00"/>
    <w:rsid w:val="00AD6642"/>
    <w:rsid w:val="00AE0678"/>
    <w:rsid w:val="00AE0D53"/>
    <w:rsid w:val="00AE15E3"/>
    <w:rsid w:val="00AE26A1"/>
    <w:rsid w:val="00AE26EB"/>
    <w:rsid w:val="00AE306F"/>
    <w:rsid w:val="00AE33FA"/>
    <w:rsid w:val="00AE4C50"/>
    <w:rsid w:val="00AE4E63"/>
    <w:rsid w:val="00AE5D2C"/>
    <w:rsid w:val="00AE70BA"/>
    <w:rsid w:val="00AE7CC0"/>
    <w:rsid w:val="00AF0456"/>
    <w:rsid w:val="00AF0C54"/>
    <w:rsid w:val="00AF1C74"/>
    <w:rsid w:val="00AF23A0"/>
    <w:rsid w:val="00AF23B6"/>
    <w:rsid w:val="00AF28C6"/>
    <w:rsid w:val="00AF2DE2"/>
    <w:rsid w:val="00AF3300"/>
    <w:rsid w:val="00AF3ECC"/>
    <w:rsid w:val="00AF6422"/>
    <w:rsid w:val="00B00AE5"/>
    <w:rsid w:val="00B0171F"/>
    <w:rsid w:val="00B0196E"/>
    <w:rsid w:val="00B01EE3"/>
    <w:rsid w:val="00B02F50"/>
    <w:rsid w:val="00B03356"/>
    <w:rsid w:val="00B036D7"/>
    <w:rsid w:val="00B05267"/>
    <w:rsid w:val="00B06075"/>
    <w:rsid w:val="00B06BC4"/>
    <w:rsid w:val="00B070EB"/>
    <w:rsid w:val="00B10552"/>
    <w:rsid w:val="00B10CBA"/>
    <w:rsid w:val="00B12CDC"/>
    <w:rsid w:val="00B132A9"/>
    <w:rsid w:val="00B14026"/>
    <w:rsid w:val="00B14729"/>
    <w:rsid w:val="00B15C3F"/>
    <w:rsid w:val="00B16431"/>
    <w:rsid w:val="00B16687"/>
    <w:rsid w:val="00B169D5"/>
    <w:rsid w:val="00B17189"/>
    <w:rsid w:val="00B200FE"/>
    <w:rsid w:val="00B2146E"/>
    <w:rsid w:val="00B25390"/>
    <w:rsid w:val="00B25CD4"/>
    <w:rsid w:val="00B25D74"/>
    <w:rsid w:val="00B262FD"/>
    <w:rsid w:val="00B26B2D"/>
    <w:rsid w:val="00B27177"/>
    <w:rsid w:val="00B27817"/>
    <w:rsid w:val="00B30A40"/>
    <w:rsid w:val="00B31902"/>
    <w:rsid w:val="00B32031"/>
    <w:rsid w:val="00B3219A"/>
    <w:rsid w:val="00B33221"/>
    <w:rsid w:val="00B3331D"/>
    <w:rsid w:val="00B33395"/>
    <w:rsid w:val="00B33909"/>
    <w:rsid w:val="00B34632"/>
    <w:rsid w:val="00B34FBC"/>
    <w:rsid w:val="00B358FC"/>
    <w:rsid w:val="00B3595F"/>
    <w:rsid w:val="00B36B43"/>
    <w:rsid w:val="00B37735"/>
    <w:rsid w:val="00B40CEA"/>
    <w:rsid w:val="00B420B7"/>
    <w:rsid w:val="00B4281B"/>
    <w:rsid w:val="00B43761"/>
    <w:rsid w:val="00B44046"/>
    <w:rsid w:val="00B45C8D"/>
    <w:rsid w:val="00B45E8E"/>
    <w:rsid w:val="00B468C0"/>
    <w:rsid w:val="00B46B92"/>
    <w:rsid w:val="00B50704"/>
    <w:rsid w:val="00B50967"/>
    <w:rsid w:val="00B5165B"/>
    <w:rsid w:val="00B51F44"/>
    <w:rsid w:val="00B52FC2"/>
    <w:rsid w:val="00B5358C"/>
    <w:rsid w:val="00B53898"/>
    <w:rsid w:val="00B5462B"/>
    <w:rsid w:val="00B56146"/>
    <w:rsid w:val="00B56BE5"/>
    <w:rsid w:val="00B5743A"/>
    <w:rsid w:val="00B5795C"/>
    <w:rsid w:val="00B57EB8"/>
    <w:rsid w:val="00B60815"/>
    <w:rsid w:val="00B60C35"/>
    <w:rsid w:val="00B62D38"/>
    <w:rsid w:val="00B644E3"/>
    <w:rsid w:val="00B65899"/>
    <w:rsid w:val="00B663AA"/>
    <w:rsid w:val="00B67E8D"/>
    <w:rsid w:val="00B70E8E"/>
    <w:rsid w:val="00B723B4"/>
    <w:rsid w:val="00B7303D"/>
    <w:rsid w:val="00B7629E"/>
    <w:rsid w:val="00B778F3"/>
    <w:rsid w:val="00B8051A"/>
    <w:rsid w:val="00B805C3"/>
    <w:rsid w:val="00B8061A"/>
    <w:rsid w:val="00B807A9"/>
    <w:rsid w:val="00B83813"/>
    <w:rsid w:val="00B83B71"/>
    <w:rsid w:val="00B8417B"/>
    <w:rsid w:val="00B8450D"/>
    <w:rsid w:val="00B85ADA"/>
    <w:rsid w:val="00B867FE"/>
    <w:rsid w:val="00B86AC2"/>
    <w:rsid w:val="00B86F5E"/>
    <w:rsid w:val="00B874B2"/>
    <w:rsid w:val="00B87C88"/>
    <w:rsid w:val="00B87DEC"/>
    <w:rsid w:val="00B90999"/>
    <w:rsid w:val="00B9130F"/>
    <w:rsid w:val="00B91CD0"/>
    <w:rsid w:val="00B92EA4"/>
    <w:rsid w:val="00B94AAA"/>
    <w:rsid w:val="00B94E44"/>
    <w:rsid w:val="00B958EE"/>
    <w:rsid w:val="00B97303"/>
    <w:rsid w:val="00BA08AF"/>
    <w:rsid w:val="00BA1015"/>
    <w:rsid w:val="00BA144E"/>
    <w:rsid w:val="00BA17CF"/>
    <w:rsid w:val="00BA19D4"/>
    <w:rsid w:val="00BA2D76"/>
    <w:rsid w:val="00BA3322"/>
    <w:rsid w:val="00BA4729"/>
    <w:rsid w:val="00BA5EC6"/>
    <w:rsid w:val="00BA6DE3"/>
    <w:rsid w:val="00BA7B30"/>
    <w:rsid w:val="00BA7B36"/>
    <w:rsid w:val="00BB00C2"/>
    <w:rsid w:val="00BB096D"/>
    <w:rsid w:val="00BB0C13"/>
    <w:rsid w:val="00BB1EED"/>
    <w:rsid w:val="00BB1F7F"/>
    <w:rsid w:val="00BB32EE"/>
    <w:rsid w:val="00BB550C"/>
    <w:rsid w:val="00BB5804"/>
    <w:rsid w:val="00BB6ECF"/>
    <w:rsid w:val="00BB6F73"/>
    <w:rsid w:val="00BB7742"/>
    <w:rsid w:val="00BB7D12"/>
    <w:rsid w:val="00BC1235"/>
    <w:rsid w:val="00BC1585"/>
    <w:rsid w:val="00BC15AC"/>
    <w:rsid w:val="00BC1FFB"/>
    <w:rsid w:val="00BC2A3A"/>
    <w:rsid w:val="00BC383E"/>
    <w:rsid w:val="00BC3993"/>
    <w:rsid w:val="00BC3EB0"/>
    <w:rsid w:val="00BC42AF"/>
    <w:rsid w:val="00BC7461"/>
    <w:rsid w:val="00BC7DB5"/>
    <w:rsid w:val="00BD0545"/>
    <w:rsid w:val="00BD112C"/>
    <w:rsid w:val="00BD1B84"/>
    <w:rsid w:val="00BD2542"/>
    <w:rsid w:val="00BD2B6C"/>
    <w:rsid w:val="00BD5538"/>
    <w:rsid w:val="00BD579C"/>
    <w:rsid w:val="00BD629D"/>
    <w:rsid w:val="00BD661C"/>
    <w:rsid w:val="00BD7C39"/>
    <w:rsid w:val="00BE07D4"/>
    <w:rsid w:val="00BE0C06"/>
    <w:rsid w:val="00BE0C4A"/>
    <w:rsid w:val="00BE23BA"/>
    <w:rsid w:val="00BE3CF3"/>
    <w:rsid w:val="00BE6FE1"/>
    <w:rsid w:val="00BE7CF9"/>
    <w:rsid w:val="00BF02FE"/>
    <w:rsid w:val="00BF0C7C"/>
    <w:rsid w:val="00BF1C81"/>
    <w:rsid w:val="00BF330C"/>
    <w:rsid w:val="00BF4838"/>
    <w:rsid w:val="00BF4B03"/>
    <w:rsid w:val="00BF4E6E"/>
    <w:rsid w:val="00BF57B0"/>
    <w:rsid w:val="00BF5E99"/>
    <w:rsid w:val="00BF6466"/>
    <w:rsid w:val="00BF6DD2"/>
    <w:rsid w:val="00BF7431"/>
    <w:rsid w:val="00BF749C"/>
    <w:rsid w:val="00C00FA7"/>
    <w:rsid w:val="00C01ADC"/>
    <w:rsid w:val="00C0215B"/>
    <w:rsid w:val="00C02507"/>
    <w:rsid w:val="00C025D1"/>
    <w:rsid w:val="00C02F22"/>
    <w:rsid w:val="00C046AA"/>
    <w:rsid w:val="00C05623"/>
    <w:rsid w:val="00C06514"/>
    <w:rsid w:val="00C06FF6"/>
    <w:rsid w:val="00C10D40"/>
    <w:rsid w:val="00C13357"/>
    <w:rsid w:val="00C13407"/>
    <w:rsid w:val="00C136B5"/>
    <w:rsid w:val="00C13FCB"/>
    <w:rsid w:val="00C14739"/>
    <w:rsid w:val="00C1494A"/>
    <w:rsid w:val="00C15522"/>
    <w:rsid w:val="00C1747D"/>
    <w:rsid w:val="00C2135F"/>
    <w:rsid w:val="00C21F35"/>
    <w:rsid w:val="00C22C1F"/>
    <w:rsid w:val="00C2307C"/>
    <w:rsid w:val="00C238F5"/>
    <w:rsid w:val="00C23B4A"/>
    <w:rsid w:val="00C2593E"/>
    <w:rsid w:val="00C2598E"/>
    <w:rsid w:val="00C26B61"/>
    <w:rsid w:val="00C27675"/>
    <w:rsid w:val="00C30344"/>
    <w:rsid w:val="00C317F0"/>
    <w:rsid w:val="00C32395"/>
    <w:rsid w:val="00C34ABF"/>
    <w:rsid w:val="00C34EE2"/>
    <w:rsid w:val="00C35A4D"/>
    <w:rsid w:val="00C3684B"/>
    <w:rsid w:val="00C368E2"/>
    <w:rsid w:val="00C36965"/>
    <w:rsid w:val="00C3697E"/>
    <w:rsid w:val="00C36FD9"/>
    <w:rsid w:val="00C37D5F"/>
    <w:rsid w:val="00C40DD9"/>
    <w:rsid w:val="00C43B0F"/>
    <w:rsid w:val="00C43EEB"/>
    <w:rsid w:val="00C453FE"/>
    <w:rsid w:val="00C458C6"/>
    <w:rsid w:val="00C45907"/>
    <w:rsid w:val="00C45951"/>
    <w:rsid w:val="00C45E2B"/>
    <w:rsid w:val="00C4600A"/>
    <w:rsid w:val="00C50C6D"/>
    <w:rsid w:val="00C51904"/>
    <w:rsid w:val="00C52357"/>
    <w:rsid w:val="00C527FF"/>
    <w:rsid w:val="00C52DA4"/>
    <w:rsid w:val="00C52E39"/>
    <w:rsid w:val="00C53386"/>
    <w:rsid w:val="00C54364"/>
    <w:rsid w:val="00C5453F"/>
    <w:rsid w:val="00C56210"/>
    <w:rsid w:val="00C57965"/>
    <w:rsid w:val="00C60A5C"/>
    <w:rsid w:val="00C60DD6"/>
    <w:rsid w:val="00C61726"/>
    <w:rsid w:val="00C637A4"/>
    <w:rsid w:val="00C6404A"/>
    <w:rsid w:val="00C64421"/>
    <w:rsid w:val="00C64694"/>
    <w:rsid w:val="00C6745C"/>
    <w:rsid w:val="00C67AFD"/>
    <w:rsid w:val="00C708F2"/>
    <w:rsid w:val="00C70EE0"/>
    <w:rsid w:val="00C71660"/>
    <w:rsid w:val="00C73AA9"/>
    <w:rsid w:val="00C749D2"/>
    <w:rsid w:val="00C7534F"/>
    <w:rsid w:val="00C763CD"/>
    <w:rsid w:val="00C7682B"/>
    <w:rsid w:val="00C769BD"/>
    <w:rsid w:val="00C80504"/>
    <w:rsid w:val="00C8063D"/>
    <w:rsid w:val="00C82612"/>
    <w:rsid w:val="00C82B96"/>
    <w:rsid w:val="00C82F2A"/>
    <w:rsid w:val="00C831AA"/>
    <w:rsid w:val="00C83865"/>
    <w:rsid w:val="00C854B4"/>
    <w:rsid w:val="00C85C14"/>
    <w:rsid w:val="00C87960"/>
    <w:rsid w:val="00C90451"/>
    <w:rsid w:val="00C910F7"/>
    <w:rsid w:val="00C9231D"/>
    <w:rsid w:val="00C92CAD"/>
    <w:rsid w:val="00C93137"/>
    <w:rsid w:val="00C93883"/>
    <w:rsid w:val="00C95C49"/>
    <w:rsid w:val="00CA1C16"/>
    <w:rsid w:val="00CA257B"/>
    <w:rsid w:val="00CA2597"/>
    <w:rsid w:val="00CA27D5"/>
    <w:rsid w:val="00CA2B97"/>
    <w:rsid w:val="00CA2EA9"/>
    <w:rsid w:val="00CA3089"/>
    <w:rsid w:val="00CA33E0"/>
    <w:rsid w:val="00CA50D0"/>
    <w:rsid w:val="00CA5563"/>
    <w:rsid w:val="00CA5770"/>
    <w:rsid w:val="00CA660E"/>
    <w:rsid w:val="00CA7084"/>
    <w:rsid w:val="00CA71A0"/>
    <w:rsid w:val="00CA7363"/>
    <w:rsid w:val="00CA7F75"/>
    <w:rsid w:val="00CB00FD"/>
    <w:rsid w:val="00CB09B0"/>
    <w:rsid w:val="00CB1C48"/>
    <w:rsid w:val="00CB1C7E"/>
    <w:rsid w:val="00CB261B"/>
    <w:rsid w:val="00CB2C1E"/>
    <w:rsid w:val="00CB59F0"/>
    <w:rsid w:val="00CB5E38"/>
    <w:rsid w:val="00CB5E70"/>
    <w:rsid w:val="00CB5E83"/>
    <w:rsid w:val="00CB6656"/>
    <w:rsid w:val="00CB7042"/>
    <w:rsid w:val="00CB716B"/>
    <w:rsid w:val="00CB7EB4"/>
    <w:rsid w:val="00CC003C"/>
    <w:rsid w:val="00CC00E5"/>
    <w:rsid w:val="00CC074C"/>
    <w:rsid w:val="00CC203E"/>
    <w:rsid w:val="00CC22B8"/>
    <w:rsid w:val="00CC25BC"/>
    <w:rsid w:val="00CC30AC"/>
    <w:rsid w:val="00CC32AF"/>
    <w:rsid w:val="00CC34BB"/>
    <w:rsid w:val="00CC355C"/>
    <w:rsid w:val="00CC3D86"/>
    <w:rsid w:val="00CC45D9"/>
    <w:rsid w:val="00CC5B86"/>
    <w:rsid w:val="00CC60FF"/>
    <w:rsid w:val="00CD03B3"/>
    <w:rsid w:val="00CD1397"/>
    <w:rsid w:val="00CD14C5"/>
    <w:rsid w:val="00CD238E"/>
    <w:rsid w:val="00CD23B2"/>
    <w:rsid w:val="00CD23D8"/>
    <w:rsid w:val="00CD34F7"/>
    <w:rsid w:val="00CD35C6"/>
    <w:rsid w:val="00CD4173"/>
    <w:rsid w:val="00CD596B"/>
    <w:rsid w:val="00CD5F0A"/>
    <w:rsid w:val="00CD6524"/>
    <w:rsid w:val="00CE08F2"/>
    <w:rsid w:val="00CE0AA7"/>
    <w:rsid w:val="00CE0C96"/>
    <w:rsid w:val="00CE151E"/>
    <w:rsid w:val="00CE2AB9"/>
    <w:rsid w:val="00CE32E4"/>
    <w:rsid w:val="00CE393D"/>
    <w:rsid w:val="00CE3D19"/>
    <w:rsid w:val="00CE57A1"/>
    <w:rsid w:val="00CE7714"/>
    <w:rsid w:val="00CE7964"/>
    <w:rsid w:val="00CE79D9"/>
    <w:rsid w:val="00CF0EC3"/>
    <w:rsid w:val="00CF106D"/>
    <w:rsid w:val="00CF1FE0"/>
    <w:rsid w:val="00CF28E4"/>
    <w:rsid w:val="00CF6176"/>
    <w:rsid w:val="00CF64CF"/>
    <w:rsid w:val="00CF6CFB"/>
    <w:rsid w:val="00CF70DA"/>
    <w:rsid w:val="00CF744D"/>
    <w:rsid w:val="00CF768A"/>
    <w:rsid w:val="00CF772D"/>
    <w:rsid w:val="00D002E2"/>
    <w:rsid w:val="00D00302"/>
    <w:rsid w:val="00D00BC6"/>
    <w:rsid w:val="00D01882"/>
    <w:rsid w:val="00D01D26"/>
    <w:rsid w:val="00D03A2A"/>
    <w:rsid w:val="00D0451F"/>
    <w:rsid w:val="00D05031"/>
    <w:rsid w:val="00D05948"/>
    <w:rsid w:val="00D06168"/>
    <w:rsid w:val="00D0656E"/>
    <w:rsid w:val="00D06CB7"/>
    <w:rsid w:val="00D073EE"/>
    <w:rsid w:val="00D07441"/>
    <w:rsid w:val="00D1018A"/>
    <w:rsid w:val="00D10DDC"/>
    <w:rsid w:val="00D113B8"/>
    <w:rsid w:val="00D11CC0"/>
    <w:rsid w:val="00D1226D"/>
    <w:rsid w:val="00D12747"/>
    <w:rsid w:val="00D13A62"/>
    <w:rsid w:val="00D14B38"/>
    <w:rsid w:val="00D1553C"/>
    <w:rsid w:val="00D15F6F"/>
    <w:rsid w:val="00D179B5"/>
    <w:rsid w:val="00D214A8"/>
    <w:rsid w:val="00D22AD8"/>
    <w:rsid w:val="00D23C0C"/>
    <w:rsid w:val="00D241B2"/>
    <w:rsid w:val="00D248D1"/>
    <w:rsid w:val="00D27472"/>
    <w:rsid w:val="00D27719"/>
    <w:rsid w:val="00D27B37"/>
    <w:rsid w:val="00D3053D"/>
    <w:rsid w:val="00D30BF0"/>
    <w:rsid w:val="00D30C2B"/>
    <w:rsid w:val="00D30F8A"/>
    <w:rsid w:val="00D360F4"/>
    <w:rsid w:val="00D36F26"/>
    <w:rsid w:val="00D36FEE"/>
    <w:rsid w:val="00D37954"/>
    <w:rsid w:val="00D37C05"/>
    <w:rsid w:val="00D4065A"/>
    <w:rsid w:val="00D40BB8"/>
    <w:rsid w:val="00D40DE8"/>
    <w:rsid w:val="00D4263D"/>
    <w:rsid w:val="00D426AC"/>
    <w:rsid w:val="00D44149"/>
    <w:rsid w:val="00D44AA8"/>
    <w:rsid w:val="00D45C73"/>
    <w:rsid w:val="00D46C76"/>
    <w:rsid w:val="00D47B88"/>
    <w:rsid w:val="00D52CD5"/>
    <w:rsid w:val="00D52F0F"/>
    <w:rsid w:val="00D544FD"/>
    <w:rsid w:val="00D55008"/>
    <w:rsid w:val="00D5522C"/>
    <w:rsid w:val="00D55A8B"/>
    <w:rsid w:val="00D563CC"/>
    <w:rsid w:val="00D57089"/>
    <w:rsid w:val="00D61297"/>
    <w:rsid w:val="00D6200F"/>
    <w:rsid w:val="00D62D34"/>
    <w:rsid w:val="00D647DF"/>
    <w:rsid w:val="00D64CB2"/>
    <w:rsid w:val="00D67B05"/>
    <w:rsid w:val="00D709C4"/>
    <w:rsid w:val="00D71123"/>
    <w:rsid w:val="00D71541"/>
    <w:rsid w:val="00D73628"/>
    <w:rsid w:val="00D73B45"/>
    <w:rsid w:val="00D745DA"/>
    <w:rsid w:val="00D76AE4"/>
    <w:rsid w:val="00D80CAB"/>
    <w:rsid w:val="00D80E6E"/>
    <w:rsid w:val="00D8394E"/>
    <w:rsid w:val="00D83BE7"/>
    <w:rsid w:val="00D85D85"/>
    <w:rsid w:val="00D868E5"/>
    <w:rsid w:val="00D87BCB"/>
    <w:rsid w:val="00D90197"/>
    <w:rsid w:val="00D904CA"/>
    <w:rsid w:val="00D90C4A"/>
    <w:rsid w:val="00D910BE"/>
    <w:rsid w:val="00D92230"/>
    <w:rsid w:val="00D92BE4"/>
    <w:rsid w:val="00D92CC9"/>
    <w:rsid w:val="00D93CD1"/>
    <w:rsid w:val="00D959B7"/>
    <w:rsid w:val="00D95C10"/>
    <w:rsid w:val="00DA01A0"/>
    <w:rsid w:val="00DA0539"/>
    <w:rsid w:val="00DA095B"/>
    <w:rsid w:val="00DA0972"/>
    <w:rsid w:val="00DA0C72"/>
    <w:rsid w:val="00DA0CC4"/>
    <w:rsid w:val="00DA15BB"/>
    <w:rsid w:val="00DA1994"/>
    <w:rsid w:val="00DA23E4"/>
    <w:rsid w:val="00DA2850"/>
    <w:rsid w:val="00DA3F72"/>
    <w:rsid w:val="00DA4AC6"/>
    <w:rsid w:val="00DA4E08"/>
    <w:rsid w:val="00DA50FB"/>
    <w:rsid w:val="00DA5CC2"/>
    <w:rsid w:val="00DA665A"/>
    <w:rsid w:val="00DB3DDC"/>
    <w:rsid w:val="00DB4AE4"/>
    <w:rsid w:val="00DB5A2C"/>
    <w:rsid w:val="00DB5A46"/>
    <w:rsid w:val="00DB5AA3"/>
    <w:rsid w:val="00DB64C1"/>
    <w:rsid w:val="00DB64D5"/>
    <w:rsid w:val="00DB6B03"/>
    <w:rsid w:val="00DB7A43"/>
    <w:rsid w:val="00DB7E4F"/>
    <w:rsid w:val="00DC0346"/>
    <w:rsid w:val="00DC277D"/>
    <w:rsid w:val="00DC3C2B"/>
    <w:rsid w:val="00DC49CF"/>
    <w:rsid w:val="00DC6AB7"/>
    <w:rsid w:val="00DD0CE9"/>
    <w:rsid w:val="00DD12C8"/>
    <w:rsid w:val="00DD1E3B"/>
    <w:rsid w:val="00DD22B8"/>
    <w:rsid w:val="00DD319E"/>
    <w:rsid w:val="00DD4148"/>
    <w:rsid w:val="00DD45B7"/>
    <w:rsid w:val="00DD5286"/>
    <w:rsid w:val="00DD58A8"/>
    <w:rsid w:val="00DD65E4"/>
    <w:rsid w:val="00DD7C58"/>
    <w:rsid w:val="00DD7FC6"/>
    <w:rsid w:val="00DE18C5"/>
    <w:rsid w:val="00DE5D32"/>
    <w:rsid w:val="00DE5F4A"/>
    <w:rsid w:val="00DE6110"/>
    <w:rsid w:val="00DE7FCE"/>
    <w:rsid w:val="00DF085D"/>
    <w:rsid w:val="00DF1009"/>
    <w:rsid w:val="00DF15AE"/>
    <w:rsid w:val="00DF3429"/>
    <w:rsid w:val="00DF34E0"/>
    <w:rsid w:val="00DF4F1D"/>
    <w:rsid w:val="00E01B7C"/>
    <w:rsid w:val="00E0206C"/>
    <w:rsid w:val="00E02162"/>
    <w:rsid w:val="00E0528F"/>
    <w:rsid w:val="00E069FC"/>
    <w:rsid w:val="00E077E2"/>
    <w:rsid w:val="00E1040E"/>
    <w:rsid w:val="00E108AA"/>
    <w:rsid w:val="00E11D81"/>
    <w:rsid w:val="00E120E3"/>
    <w:rsid w:val="00E1210A"/>
    <w:rsid w:val="00E14470"/>
    <w:rsid w:val="00E15600"/>
    <w:rsid w:val="00E16290"/>
    <w:rsid w:val="00E16B42"/>
    <w:rsid w:val="00E20D16"/>
    <w:rsid w:val="00E20DF4"/>
    <w:rsid w:val="00E21953"/>
    <w:rsid w:val="00E23183"/>
    <w:rsid w:val="00E23D7D"/>
    <w:rsid w:val="00E242DC"/>
    <w:rsid w:val="00E2430E"/>
    <w:rsid w:val="00E249B1"/>
    <w:rsid w:val="00E24BD8"/>
    <w:rsid w:val="00E259A4"/>
    <w:rsid w:val="00E27757"/>
    <w:rsid w:val="00E30649"/>
    <w:rsid w:val="00E310AE"/>
    <w:rsid w:val="00E313BB"/>
    <w:rsid w:val="00E3263C"/>
    <w:rsid w:val="00E32B0E"/>
    <w:rsid w:val="00E3300E"/>
    <w:rsid w:val="00E34FD7"/>
    <w:rsid w:val="00E3549B"/>
    <w:rsid w:val="00E35AAA"/>
    <w:rsid w:val="00E35B79"/>
    <w:rsid w:val="00E36E1E"/>
    <w:rsid w:val="00E372EC"/>
    <w:rsid w:val="00E375CC"/>
    <w:rsid w:val="00E416FD"/>
    <w:rsid w:val="00E437F5"/>
    <w:rsid w:val="00E43F7D"/>
    <w:rsid w:val="00E4606C"/>
    <w:rsid w:val="00E46440"/>
    <w:rsid w:val="00E46E45"/>
    <w:rsid w:val="00E4707F"/>
    <w:rsid w:val="00E51530"/>
    <w:rsid w:val="00E51BC9"/>
    <w:rsid w:val="00E527C9"/>
    <w:rsid w:val="00E53D9D"/>
    <w:rsid w:val="00E5441F"/>
    <w:rsid w:val="00E544A1"/>
    <w:rsid w:val="00E544FB"/>
    <w:rsid w:val="00E54653"/>
    <w:rsid w:val="00E54C1B"/>
    <w:rsid w:val="00E54EEE"/>
    <w:rsid w:val="00E5586F"/>
    <w:rsid w:val="00E56F5C"/>
    <w:rsid w:val="00E600EC"/>
    <w:rsid w:val="00E62593"/>
    <w:rsid w:val="00E633D9"/>
    <w:rsid w:val="00E63A1D"/>
    <w:rsid w:val="00E64349"/>
    <w:rsid w:val="00E65F3A"/>
    <w:rsid w:val="00E66B1E"/>
    <w:rsid w:val="00E67430"/>
    <w:rsid w:val="00E73BD5"/>
    <w:rsid w:val="00E749CE"/>
    <w:rsid w:val="00E75D49"/>
    <w:rsid w:val="00E81F48"/>
    <w:rsid w:val="00E81F86"/>
    <w:rsid w:val="00E820F5"/>
    <w:rsid w:val="00E82B0E"/>
    <w:rsid w:val="00E82E24"/>
    <w:rsid w:val="00E83A48"/>
    <w:rsid w:val="00E84A50"/>
    <w:rsid w:val="00E86AD1"/>
    <w:rsid w:val="00E86FFD"/>
    <w:rsid w:val="00E8740A"/>
    <w:rsid w:val="00E9025C"/>
    <w:rsid w:val="00E90931"/>
    <w:rsid w:val="00E917F3"/>
    <w:rsid w:val="00E91C1E"/>
    <w:rsid w:val="00E91C70"/>
    <w:rsid w:val="00E91DEE"/>
    <w:rsid w:val="00E91EFA"/>
    <w:rsid w:val="00E926F6"/>
    <w:rsid w:val="00E928E7"/>
    <w:rsid w:val="00E92D1D"/>
    <w:rsid w:val="00E956EA"/>
    <w:rsid w:val="00E96427"/>
    <w:rsid w:val="00E9662F"/>
    <w:rsid w:val="00E966E0"/>
    <w:rsid w:val="00EA0B84"/>
    <w:rsid w:val="00EA1692"/>
    <w:rsid w:val="00EA330E"/>
    <w:rsid w:val="00EA3396"/>
    <w:rsid w:val="00EA339B"/>
    <w:rsid w:val="00EA3D34"/>
    <w:rsid w:val="00EA40EF"/>
    <w:rsid w:val="00EA4614"/>
    <w:rsid w:val="00EA542E"/>
    <w:rsid w:val="00EA567F"/>
    <w:rsid w:val="00EA5862"/>
    <w:rsid w:val="00EA63F0"/>
    <w:rsid w:val="00EA6C0B"/>
    <w:rsid w:val="00EA7248"/>
    <w:rsid w:val="00EB1E85"/>
    <w:rsid w:val="00EB21C2"/>
    <w:rsid w:val="00EB2469"/>
    <w:rsid w:val="00EB510F"/>
    <w:rsid w:val="00EB51EF"/>
    <w:rsid w:val="00EB5C6F"/>
    <w:rsid w:val="00EB6433"/>
    <w:rsid w:val="00EB6522"/>
    <w:rsid w:val="00EB6564"/>
    <w:rsid w:val="00EB7B7C"/>
    <w:rsid w:val="00EC1891"/>
    <w:rsid w:val="00EC2121"/>
    <w:rsid w:val="00EC2ADE"/>
    <w:rsid w:val="00EC2D54"/>
    <w:rsid w:val="00EC31B4"/>
    <w:rsid w:val="00EC3475"/>
    <w:rsid w:val="00EC54D5"/>
    <w:rsid w:val="00EC6B74"/>
    <w:rsid w:val="00EC74F2"/>
    <w:rsid w:val="00EC7DD1"/>
    <w:rsid w:val="00ED05B6"/>
    <w:rsid w:val="00ED2307"/>
    <w:rsid w:val="00ED3061"/>
    <w:rsid w:val="00ED3772"/>
    <w:rsid w:val="00ED4289"/>
    <w:rsid w:val="00EE065A"/>
    <w:rsid w:val="00EE18D6"/>
    <w:rsid w:val="00EE254C"/>
    <w:rsid w:val="00EE4BDE"/>
    <w:rsid w:val="00EE504D"/>
    <w:rsid w:val="00EF1346"/>
    <w:rsid w:val="00EF1F29"/>
    <w:rsid w:val="00EF200F"/>
    <w:rsid w:val="00EF2181"/>
    <w:rsid w:val="00EF2617"/>
    <w:rsid w:val="00EF36E8"/>
    <w:rsid w:val="00EF5C5A"/>
    <w:rsid w:val="00EF7001"/>
    <w:rsid w:val="00F00C16"/>
    <w:rsid w:val="00F00E7A"/>
    <w:rsid w:val="00F00F41"/>
    <w:rsid w:val="00F01447"/>
    <w:rsid w:val="00F0167F"/>
    <w:rsid w:val="00F01AF5"/>
    <w:rsid w:val="00F02909"/>
    <w:rsid w:val="00F04077"/>
    <w:rsid w:val="00F04ABA"/>
    <w:rsid w:val="00F05DA0"/>
    <w:rsid w:val="00F06AA4"/>
    <w:rsid w:val="00F1045C"/>
    <w:rsid w:val="00F112EC"/>
    <w:rsid w:val="00F12BFA"/>
    <w:rsid w:val="00F15354"/>
    <w:rsid w:val="00F166C0"/>
    <w:rsid w:val="00F179D9"/>
    <w:rsid w:val="00F20124"/>
    <w:rsid w:val="00F20301"/>
    <w:rsid w:val="00F2073A"/>
    <w:rsid w:val="00F20B24"/>
    <w:rsid w:val="00F20D8F"/>
    <w:rsid w:val="00F21FAF"/>
    <w:rsid w:val="00F23590"/>
    <w:rsid w:val="00F246CB"/>
    <w:rsid w:val="00F24D9B"/>
    <w:rsid w:val="00F25B33"/>
    <w:rsid w:val="00F25E65"/>
    <w:rsid w:val="00F273D7"/>
    <w:rsid w:val="00F279A5"/>
    <w:rsid w:val="00F27BD4"/>
    <w:rsid w:val="00F27CA1"/>
    <w:rsid w:val="00F27DE1"/>
    <w:rsid w:val="00F302F8"/>
    <w:rsid w:val="00F3032A"/>
    <w:rsid w:val="00F307CC"/>
    <w:rsid w:val="00F3092C"/>
    <w:rsid w:val="00F30FBB"/>
    <w:rsid w:val="00F31379"/>
    <w:rsid w:val="00F3142D"/>
    <w:rsid w:val="00F31631"/>
    <w:rsid w:val="00F31A96"/>
    <w:rsid w:val="00F31D6B"/>
    <w:rsid w:val="00F3610C"/>
    <w:rsid w:val="00F3623D"/>
    <w:rsid w:val="00F401D2"/>
    <w:rsid w:val="00F43919"/>
    <w:rsid w:val="00F4392E"/>
    <w:rsid w:val="00F4712F"/>
    <w:rsid w:val="00F50706"/>
    <w:rsid w:val="00F51855"/>
    <w:rsid w:val="00F5202D"/>
    <w:rsid w:val="00F53639"/>
    <w:rsid w:val="00F545A5"/>
    <w:rsid w:val="00F55ACC"/>
    <w:rsid w:val="00F5710D"/>
    <w:rsid w:val="00F62364"/>
    <w:rsid w:val="00F639E2"/>
    <w:rsid w:val="00F65E44"/>
    <w:rsid w:val="00F660F8"/>
    <w:rsid w:val="00F664CA"/>
    <w:rsid w:val="00F6690A"/>
    <w:rsid w:val="00F66CAF"/>
    <w:rsid w:val="00F67669"/>
    <w:rsid w:val="00F70917"/>
    <w:rsid w:val="00F710EE"/>
    <w:rsid w:val="00F712B9"/>
    <w:rsid w:val="00F72659"/>
    <w:rsid w:val="00F73681"/>
    <w:rsid w:val="00F73B92"/>
    <w:rsid w:val="00F74FE3"/>
    <w:rsid w:val="00F75087"/>
    <w:rsid w:val="00F76FD0"/>
    <w:rsid w:val="00F7726E"/>
    <w:rsid w:val="00F77AC0"/>
    <w:rsid w:val="00F80A00"/>
    <w:rsid w:val="00F80F12"/>
    <w:rsid w:val="00F8199E"/>
    <w:rsid w:val="00F81FBB"/>
    <w:rsid w:val="00F821E8"/>
    <w:rsid w:val="00F82FB9"/>
    <w:rsid w:val="00F8394C"/>
    <w:rsid w:val="00F85069"/>
    <w:rsid w:val="00F8558D"/>
    <w:rsid w:val="00F9022D"/>
    <w:rsid w:val="00F91642"/>
    <w:rsid w:val="00F91737"/>
    <w:rsid w:val="00F9179A"/>
    <w:rsid w:val="00F91FB6"/>
    <w:rsid w:val="00F9219B"/>
    <w:rsid w:val="00F9219D"/>
    <w:rsid w:val="00F939B7"/>
    <w:rsid w:val="00F939CF"/>
    <w:rsid w:val="00F93ADC"/>
    <w:rsid w:val="00F94BC7"/>
    <w:rsid w:val="00F9521D"/>
    <w:rsid w:val="00F9638B"/>
    <w:rsid w:val="00F969F6"/>
    <w:rsid w:val="00FA1565"/>
    <w:rsid w:val="00FA1849"/>
    <w:rsid w:val="00FA1A73"/>
    <w:rsid w:val="00FA2907"/>
    <w:rsid w:val="00FA343E"/>
    <w:rsid w:val="00FA3F35"/>
    <w:rsid w:val="00FA4653"/>
    <w:rsid w:val="00FA5D1C"/>
    <w:rsid w:val="00FA5FF6"/>
    <w:rsid w:val="00FA6176"/>
    <w:rsid w:val="00FB0168"/>
    <w:rsid w:val="00FB01D1"/>
    <w:rsid w:val="00FB0292"/>
    <w:rsid w:val="00FB1C57"/>
    <w:rsid w:val="00FB2752"/>
    <w:rsid w:val="00FB34A8"/>
    <w:rsid w:val="00FB42B1"/>
    <w:rsid w:val="00FB49E9"/>
    <w:rsid w:val="00FB4C2A"/>
    <w:rsid w:val="00FB5969"/>
    <w:rsid w:val="00FB668B"/>
    <w:rsid w:val="00FB68A7"/>
    <w:rsid w:val="00FB6C3C"/>
    <w:rsid w:val="00FB7CD1"/>
    <w:rsid w:val="00FC063F"/>
    <w:rsid w:val="00FC1C91"/>
    <w:rsid w:val="00FC2094"/>
    <w:rsid w:val="00FC235A"/>
    <w:rsid w:val="00FC2EE8"/>
    <w:rsid w:val="00FC4C08"/>
    <w:rsid w:val="00FC6D77"/>
    <w:rsid w:val="00FC70B8"/>
    <w:rsid w:val="00FC7CA1"/>
    <w:rsid w:val="00FC7D48"/>
    <w:rsid w:val="00FC7D59"/>
    <w:rsid w:val="00FD1C21"/>
    <w:rsid w:val="00FD1DAA"/>
    <w:rsid w:val="00FD230F"/>
    <w:rsid w:val="00FD23BC"/>
    <w:rsid w:val="00FD2C56"/>
    <w:rsid w:val="00FD4805"/>
    <w:rsid w:val="00FD4A30"/>
    <w:rsid w:val="00FD703D"/>
    <w:rsid w:val="00FE1115"/>
    <w:rsid w:val="00FE1239"/>
    <w:rsid w:val="00FE12E6"/>
    <w:rsid w:val="00FE13C8"/>
    <w:rsid w:val="00FE221D"/>
    <w:rsid w:val="00FE40B0"/>
    <w:rsid w:val="00FE4BA1"/>
    <w:rsid w:val="00FE57BB"/>
    <w:rsid w:val="00FE599B"/>
    <w:rsid w:val="00FE6946"/>
    <w:rsid w:val="00FE6B23"/>
    <w:rsid w:val="00FF05A3"/>
    <w:rsid w:val="00FF0DC4"/>
    <w:rsid w:val="00FF0E04"/>
    <w:rsid w:val="00FF36CF"/>
    <w:rsid w:val="00FF378F"/>
    <w:rsid w:val="00FF5110"/>
    <w:rsid w:val="00FF5F8D"/>
    <w:rsid w:val="00FF6355"/>
    <w:rsid w:val="00FF6371"/>
    <w:rsid w:val="00FF65EF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95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935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1C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rsid w:val="0082329E"/>
    <w:pPr>
      <w:keepNext/>
      <w:outlineLvl w:val="2"/>
    </w:pPr>
    <w:rPr>
      <w:rFonts w:ascii="Bookman Old Style" w:hAnsi="Bookman Old Style"/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11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11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2329E"/>
    <w:pPr>
      <w:jc w:val="both"/>
    </w:pPr>
  </w:style>
  <w:style w:type="paragraph" w:styleId="Textoindependiente2">
    <w:name w:val="Body Text 2"/>
    <w:basedOn w:val="Normal"/>
    <w:rsid w:val="0082329E"/>
    <w:pPr>
      <w:jc w:val="both"/>
    </w:pPr>
    <w:rPr>
      <w:sz w:val="22"/>
    </w:rPr>
  </w:style>
  <w:style w:type="paragraph" w:styleId="NormalWeb">
    <w:name w:val="Normal (Web)"/>
    <w:basedOn w:val="Normal"/>
    <w:uiPriority w:val="99"/>
    <w:rsid w:val="0082329E"/>
    <w:pPr>
      <w:spacing w:before="100" w:beforeAutospacing="1" w:after="100" w:afterAutospacing="1"/>
    </w:pPr>
    <w:rPr>
      <w:rFonts w:ascii="Times New Roman" w:hAnsi="Times New Roman"/>
    </w:rPr>
  </w:style>
  <w:style w:type="paragraph" w:styleId="Encabezado">
    <w:name w:val="header"/>
    <w:basedOn w:val="Normal"/>
    <w:rsid w:val="00C7682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7682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EF700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3A2F39"/>
    <w:rPr>
      <w:rFonts w:ascii="Times New Roman" w:hAnsi="Times New Roman"/>
      <w:sz w:val="20"/>
      <w:szCs w:val="20"/>
      <w:lang w:val="en-US" w:eastAsia="en-US"/>
    </w:rPr>
  </w:style>
  <w:style w:type="character" w:styleId="Refdenotaalpie">
    <w:name w:val="footnote reference"/>
    <w:uiPriority w:val="99"/>
    <w:semiHidden/>
    <w:rsid w:val="003A2F39"/>
    <w:rPr>
      <w:vertAlign w:val="superscript"/>
    </w:rPr>
  </w:style>
  <w:style w:type="paragraph" w:customStyle="1" w:styleId="CarCarCar1CarCarCarCarCarCarCarCarCarCarCarCar">
    <w:name w:val="Car Car Car1 Car Car Car Car Car Car Car Car Car Car Car Car"/>
    <w:basedOn w:val="Normal"/>
    <w:rsid w:val="005C7526"/>
    <w:pPr>
      <w:spacing w:after="160" w:line="240" w:lineRule="exact"/>
    </w:pPr>
    <w:rPr>
      <w:sz w:val="20"/>
      <w:szCs w:val="20"/>
      <w:lang w:val="en-US" w:eastAsia="en-US"/>
    </w:rPr>
  </w:style>
  <w:style w:type="character" w:styleId="Nmerodepgina">
    <w:name w:val="page number"/>
    <w:basedOn w:val="Fuentedeprrafopredeter"/>
    <w:rsid w:val="00AE4C50"/>
  </w:style>
  <w:style w:type="character" w:styleId="Refdecomentario">
    <w:name w:val="annotation reference"/>
    <w:semiHidden/>
    <w:rsid w:val="00B86AC2"/>
    <w:rPr>
      <w:sz w:val="16"/>
      <w:szCs w:val="16"/>
    </w:rPr>
  </w:style>
  <w:style w:type="paragraph" w:styleId="Textocomentario">
    <w:name w:val="annotation text"/>
    <w:basedOn w:val="Normal"/>
    <w:semiHidden/>
    <w:rsid w:val="00B86AC2"/>
    <w:rPr>
      <w:sz w:val="20"/>
      <w:szCs w:val="20"/>
    </w:rPr>
  </w:style>
  <w:style w:type="table" w:styleId="Tablaconcuadrcula">
    <w:name w:val="Table Grid"/>
    <w:basedOn w:val="Tablanormal"/>
    <w:rsid w:val="00C37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semiHidden/>
    <w:rsid w:val="001D4A4D"/>
    <w:rPr>
      <w:b/>
      <w:bCs/>
    </w:rPr>
  </w:style>
  <w:style w:type="paragraph" w:styleId="Prrafodelista">
    <w:name w:val="List Paragraph"/>
    <w:basedOn w:val="Normal"/>
    <w:uiPriority w:val="34"/>
    <w:qFormat/>
    <w:rsid w:val="0069319D"/>
    <w:pPr>
      <w:ind w:left="720"/>
      <w:contextualSpacing/>
    </w:pPr>
  </w:style>
  <w:style w:type="paragraph" w:customStyle="1" w:styleId="CarCarCar1CarCarCarCarCarCarCarCarCarCarCarCar0">
    <w:name w:val="Car Car Car1 Car Car Car Car Car Car Car Car Car Car Car Car"/>
    <w:basedOn w:val="Normal"/>
    <w:rsid w:val="00A0020C"/>
    <w:pPr>
      <w:spacing w:after="160" w:line="240" w:lineRule="exact"/>
    </w:pPr>
    <w:rPr>
      <w:sz w:val="20"/>
      <w:szCs w:val="20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1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11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11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2115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21152"/>
    <w:rPr>
      <w:rFonts w:ascii="Arial" w:hAnsi="Arial"/>
      <w:sz w:val="24"/>
      <w:szCs w:val="24"/>
      <w:lang w:val="es-ES" w:eastAsia="es-ES"/>
    </w:rPr>
  </w:style>
  <w:style w:type="paragraph" w:customStyle="1" w:styleId="CarCarCar1CarCarCarCarCarCarCarCarCarCarCarCar1">
    <w:name w:val="Car Car Car1 Car Car Car Car Car Car Car Car Car Car Car Car"/>
    <w:basedOn w:val="Normal"/>
    <w:rsid w:val="00080F88"/>
    <w:pPr>
      <w:spacing w:after="160" w:line="240" w:lineRule="exact"/>
    </w:pPr>
    <w:rPr>
      <w:sz w:val="20"/>
      <w:szCs w:val="20"/>
      <w:lang w:val="en-US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4A3991"/>
    <w:rPr>
      <w:color w:val="0000FF"/>
      <w:u w:val="single"/>
    </w:rPr>
  </w:style>
  <w:style w:type="paragraph" w:customStyle="1" w:styleId="CarCarCar1CarCarCarCarCarCarCarCarCarCarCarCar2">
    <w:name w:val="Car Car Car1 Car Car Car Car Car Car Car Car Car Car Car Car"/>
    <w:basedOn w:val="Normal"/>
    <w:rsid w:val="008F08A7"/>
    <w:pPr>
      <w:spacing w:after="160" w:line="240" w:lineRule="exact"/>
    </w:pPr>
    <w:rPr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rsid w:val="008F08A7"/>
    <w:rPr>
      <w:rFonts w:ascii="Arial" w:hAnsi="Arial"/>
      <w:sz w:val="24"/>
      <w:szCs w:val="24"/>
      <w:lang w:val="es-ES" w:eastAsia="es-ES"/>
    </w:rPr>
  </w:style>
  <w:style w:type="paragraph" w:customStyle="1" w:styleId="CarCarCar1CarCarCarCarCarCarCarCarCarCarCarCar3">
    <w:name w:val="Car Car Car1 Car Car Car Car Car Car Car Car Car Car Car Car"/>
    <w:basedOn w:val="Normal"/>
    <w:rsid w:val="00B8450D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CarCarCar1CarCarCarCarCarCarCarCarCarCarCarCar4">
    <w:name w:val="Car Car Car1 Car Car Car Car Car Car Car Car Car Car Car Car"/>
    <w:basedOn w:val="Normal"/>
    <w:rsid w:val="00A054E8"/>
    <w:pPr>
      <w:spacing w:after="160" w:line="240" w:lineRule="exact"/>
    </w:pPr>
    <w:rPr>
      <w:sz w:val="20"/>
      <w:szCs w:val="20"/>
      <w:lang w:val="en-US" w:eastAsia="en-US"/>
    </w:rPr>
  </w:style>
  <w:style w:type="table" w:styleId="Sombreadoclaro">
    <w:name w:val="Light Shading"/>
    <w:basedOn w:val="Tablanormal"/>
    <w:uiPriority w:val="60"/>
    <w:rsid w:val="00F1535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1535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-nfasis1">
    <w:name w:val="Light Grid Accent 1"/>
    <w:basedOn w:val="Tablanormal"/>
    <w:uiPriority w:val="62"/>
    <w:rsid w:val="00F1535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F1535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media3-nfasis1">
    <w:name w:val="Medium Grid 3 Accent 1"/>
    <w:basedOn w:val="Tablanormal"/>
    <w:uiPriority w:val="69"/>
    <w:rsid w:val="005152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stamedia2-nfasis1">
    <w:name w:val="Medium List 2 Accent 1"/>
    <w:basedOn w:val="Tablanormal"/>
    <w:uiPriority w:val="66"/>
    <w:rsid w:val="005152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5152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medio1-nfasis1">
    <w:name w:val="Medium Shading 1 Accent 1"/>
    <w:basedOn w:val="Tablanormal"/>
    <w:uiPriority w:val="63"/>
    <w:rsid w:val="00E527C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2D466B"/>
    <w:rPr>
      <w:rFonts w:ascii="Arial" w:hAnsi="Arial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93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95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935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1C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rsid w:val="0082329E"/>
    <w:pPr>
      <w:keepNext/>
      <w:outlineLvl w:val="2"/>
    </w:pPr>
    <w:rPr>
      <w:rFonts w:ascii="Bookman Old Style" w:hAnsi="Bookman Old Style"/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11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11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2329E"/>
    <w:pPr>
      <w:jc w:val="both"/>
    </w:pPr>
  </w:style>
  <w:style w:type="paragraph" w:styleId="Textoindependiente2">
    <w:name w:val="Body Text 2"/>
    <w:basedOn w:val="Normal"/>
    <w:rsid w:val="0082329E"/>
    <w:pPr>
      <w:jc w:val="both"/>
    </w:pPr>
    <w:rPr>
      <w:sz w:val="22"/>
    </w:rPr>
  </w:style>
  <w:style w:type="paragraph" w:styleId="NormalWeb">
    <w:name w:val="Normal (Web)"/>
    <w:basedOn w:val="Normal"/>
    <w:uiPriority w:val="99"/>
    <w:rsid w:val="0082329E"/>
    <w:pPr>
      <w:spacing w:before="100" w:beforeAutospacing="1" w:after="100" w:afterAutospacing="1"/>
    </w:pPr>
    <w:rPr>
      <w:rFonts w:ascii="Times New Roman" w:hAnsi="Times New Roman"/>
    </w:rPr>
  </w:style>
  <w:style w:type="paragraph" w:styleId="Encabezado">
    <w:name w:val="header"/>
    <w:basedOn w:val="Normal"/>
    <w:rsid w:val="00C7682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7682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EF700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3A2F39"/>
    <w:rPr>
      <w:rFonts w:ascii="Times New Roman" w:hAnsi="Times New Roman"/>
      <w:sz w:val="20"/>
      <w:szCs w:val="20"/>
      <w:lang w:val="en-US" w:eastAsia="en-US"/>
    </w:rPr>
  </w:style>
  <w:style w:type="character" w:styleId="Refdenotaalpie">
    <w:name w:val="footnote reference"/>
    <w:uiPriority w:val="99"/>
    <w:semiHidden/>
    <w:rsid w:val="003A2F39"/>
    <w:rPr>
      <w:vertAlign w:val="superscript"/>
    </w:rPr>
  </w:style>
  <w:style w:type="paragraph" w:customStyle="1" w:styleId="CarCarCar1CarCarCarCarCarCarCarCarCarCarCarCar">
    <w:name w:val="Car Car Car1 Car Car Car Car Car Car Car Car Car Car Car Car"/>
    <w:basedOn w:val="Normal"/>
    <w:rsid w:val="005C7526"/>
    <w:pPr>
      <w:spacing w:after="160" w:line="240" w:lineRule="exact"/>
    </w:pPr>
    <w:rPr>
      <w:sz w:val="20"/>
      <w:szCs w:val="20"/>
      <w:lang w:val="en-US" w:eastAsia="en-US"/>
    </w:rPr>
  </w:style>
  <w:style w:type="character" w:styleId="Nmerodepgina">
    <w:name w:val="page number"/>
    <w:basedOn w:val="Fuentedeprrafopredeter"/>
    <w:rsid w:val="00AE4C50"/>
  </w:style>
  <w:style w:type="character" w:styleId="Refdecomentario">
    <w:name w:val="annotation reference"/>
    <w:semiHidden/>
    <w:rsid w:val="00B86AC2"/>
    <w:rPr>
      <w:sz w:val="16"/>
      <w:szCs w:val="16"/>
    </w:rPr>
  </w:style>
  <w:style w:type="paragraph" w:styleId="Textocomentario">
    <w:name w:val="annotation text"/>
    <w:basedOn w:val="Normal"/>
    <w:semiHidden/>
    <w:rsid w:val="00B86AC2"/>
    <w:rPr>
      <w:sz w:val="20"/>
      <w:szCs w:val="20"/>
    </w:rPr>
  </w:style>
  <w:style w:type="table" w:styleId="Tablaconcuadrcula">
    <w:name w:val="Table Grid"/>
    <w:basedOn w:val="Tablanormal"/>
    <w:rsid w:val="00C37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semiHidden/>
    <w:rsid w:val="001D4A4D"/>
    <w:rPr>
      <w:b/>
      <w:bCs/>
    </w:rPr>
  </w:style>
  <w:style w:type="paragraph" w:styleId="Prrafodelista">
    <w:name w:val="List Paragraph"/>
    <w:basedOn w:val="Normal"/>
    <w:uiPriority w:val="34"/>
    <w:qFormat/>
    <w:rsid w:val="0069319D"/>
    <w:pPr>
      <w:ind w:left="720"/>
      <w:contextualSpacing/>
    </w:pPr>
  </w:style>
  <w:style w:type="paragraph" w:customStyle="1" w:styleId="CarCarCar1CarCarCarCarCarCarCarCarCarCarCarCar0">
    <w:name w:val="Car Car Car1 Car Car Car Car Car Car Car Car Car Car Car Car"/>
    <w:basedOn w:val="Normal"/>
    <w:rsid w:val="00A0020C"/>
    <w:pPr>
      <w:spacing w:after="160" w:line="240" w:lineRule="exact"/>
    </w:pPr>
    <w:rPr>
      <w:sz w:val="20"/>
      <w:szCs w:val="20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1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11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11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2115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21152"/>
    <w:rPr>
      <w:rFonts w:ascii="Arial" w:hAnsi="Arial"/>
      <w:sz w:val="24"/>
      <w:szCs w:val="24"/>
      <w:lang w:val="es-ES" w:eastAsia="es-ES"/>
    </w:rPr>
  </w:style>
  <w:style w:type="paragraph" w:customStyle="1" w:styleId="CarCarCar1CarCarCarCarCarCarCarCarCarCarCarCar1">
    <w:name w:val="Car Car Car1 Car Car Car Car Car Car Car Car Car Car Car Car"/>
    <w:basedOn w:val="Normal"/>
    <w:rsid w:val="00080F88"/>
    <w:pPr>
      <w:spacing w:after="160" w:line="240" w:lineRule="exact"/>
    </w:pPr>
    <w:rPr>
      <w:sz w:val="20"/>
      <w:szCs w:val="20"/>
      <w:lang w:val="en-US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4A3991"/>
    <w:rPr>
      <w:color w:val="0000FF"/>
      <w:u w:val="single"/>
    </w:rPr>
  </w:style>
  <w:style w:type="paragraph" w:customStyle="1" w:styleId="CarCarCar1CarCarCarCarCarCarCarCarCarCarCarCar2">
    <w:name w:val="Car Car Car1 Car Car Car Car Car Car Car Car Car Car Car Car"/>
    <w:basedOn w:val="Normal"/>
    <w:rsid w:val="008F08A7"/>
    <w:pPr>
      <w:spacing w:after="160" w:line="240" w:lineRule="exact"/>
    </w:pPr>
    <w:rPr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rsid w:val="008F08A7"/>
    <w:rPr>
      <w:rFonts w:ascii="Arial" w:hAnsi="Arial"/>
      <w:sz w:val="24"/>
      <w:szCs w:val="24"/>
      <w:lang w:val="es-ES" w:eastAsia="es-ES"/>
    </w:rPr>
  </w:style>
  <w:style w:type="paragraph" w:customStyle="1" w:styleId="CarCarCar1CarCarCarCarCarCarCarCarCarCarCarCar3">
    <w:name w:val="Car Car Car1 Car Car Car Car Car Car Car Car Car Car Car Car"/>
    <w:basedOn w:val="Normal"/>
    <w:rsid w:val="00B8450D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CarCarCar1CarCarCarCarCarCarCarCarCarCarCarCar4">
    <w:name w:val="Car Car Car1 Car Car Car Car Car Car Car Car Car Car Car Car"/>
    <w:basedOn w:val="Normal"/>
    <w:rsid w:val="00A054E8"/>
    <w:pPr>
      <w:spacing w:after="160" w:line="240" w:lineRule="exact"/>
    </w:pPr>
    <w:rPr>
      <w:sz w:val="20"/>
      <w:szCs w:val="20"/>
      <w:lang w:val="en-US" w:eastAsia="en-US"/>
    </w:rPr>
  </w:style>
  <w:style w:type="table" w:styleId="Sombreadoclaro">
    <w:name w:val="Light Shading"/>
    <w:basedOn w:val="Tablanormal"/>
    <w:uiPriority w:val="60"/>
    <w:rsid w:val="00F1535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1535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-nfasis1">
    <w:name w:val="Light Grid Accent 1"/>
    <w:basedOn w:val="Tablanormal"/>
    <w:uiPriority w:val="62"/>
    <w:rsid w:val="00F1535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F1535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media3-nfasis1">
    <w:name w:val="Medium Grid 3 Accent 1"/>
    <w:basedOn w:val="Tablanormal"/>
    <w:uiPriority w:val="69"/>
    <w:rsid w:val="005152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stamedia2-nfasis1">
    <w:name w:val="Medium List 2 Accent 1"/>
    <w:basedOn w:val="Tablanormal"/>
    <w:uiPriority w:val="66"/>
    <w:rsid w:val="005152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51527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medio1-nfasis1">
    <w:name w:val="Medium Shading 1 Accent 1"/>
    <w:basedOn w:val="Tablanormal"/>
    <w:uiPriority w:val="63"/>
    <w:rsid w:val="00E527C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2D466B"/>
    <w:rPr>
      <w:rFonts w:ascii="Arial" w:hAnsi="Arial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93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03511-12D3-4CC7-8921-72E9347E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3306</Words>
  <Characters>18715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RESUMEN SOBRE LA EJECUCIÓN DE LOS PLANES DE ACCION –SANEAMIENTO PARA LAS ÁREAS DE GESTIÓN Y LIQUIDEZ</vt:lpstr>
    </vt:vector>
  </TitlesOfParts>
  <Company>Bco. Hipotecario de la Vivienda</Company>
  <LinksUpToDate>false</LinksUpToDate>
  <CharactersWithSpaces>21978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RESUMEN SOBRE LA EJECUCIÓN DE LOS PLANES DE ACCION –SANEAMIENTO PARA LAS ÁREAS DE GESTIÓN Y LIQUIDEZ</dc:title>
  <dc:creator>Mario Mora Guzmán</dc:creator>
  <cp:lastModifiedBy>Aguilar Gutierrez Martha</cp:lastModifiedBy>
  <cp:revision>3</cp:revision>
  <cp:lastPrinted>2017-04-28T20:08:00Z</cp:lastPrinted>
  <dcterms:created xsi:type="dcterms:W3CDTF">2017-04-28T20:02:00Z</dcterms:created>
  <dcterms:modified xsi:type="dcterms:W3CDTF">2017-04-28T20:11:00Z</dcterms:modified>
</cp:coreProperties>
</file>